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3F9" w:rsidRPr="001F6CB4" w:rsidRDefault="00FF4B00" w:rsidP="00A133F9">
      <w:pPr>
        <w:spacing w:before="40" w:after="40" w:line="360" w:lineRule="auto"/>
        <w:ind w:left="1134" w:right="1134"/>
        <w:jc w:val="both"/>
        <w:rPr>
          <w:rFonts w:ascii="Times New Roman" w:hAnsi="Times New Roman" w:cs="Times New Roman"/>
          <w:sz w:val="26"/>
          <w:szCs w:val="26"/>
        </w:rPr>
      </w:pPr>
      <w:r>
        <w:rPr>
          <w:rFonts w:ascii="Times New Roman" w:hAnsi="Times New Roman" w:cs="Times New Roman"/>
          <w:sz w:val="26"/>
          <w:szCs w:val="26"/>
        </w:rPr>
        <w:t xml:space="preserve">1. </w:t>
      </w:r>
      <w:r w:rsidR="00A133F9">
        <w:rPr>
          <w:rFonts w:ascii="Times New Roman" w:hAnsi="Times New Roman" w:cs="Times New Roman"/>
          <w:sz w:val="26"/>
          <w:szCs w:val="26"/>
        </w:rPr>
        <w:t>L’emersione dei T-shaped professional</w:t>
      </w: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La globalizzazione - accelerando i progressi tecnologici ed incrementando l’imprevedibilità della domanda e le esigenze dei clienti - ha un forte impatto sul contesto in cui le aziende operano. Esse sono infatti costrette a: generare un flusso di innovazione, sia tecnologica che organizzativa, al fine di adattarsi all'ambiente in continua evoluzione; mostrarsi continuamente capaci di innovare, collaborando e coinvolgendo clienti, concorrenti e istituti di ricerca</w:t>
      </w:r>
      <w:r w:rsidRPr="001F6CB4">
        <w:rPr>
          <w:rStyle w:val="Rimandonotaapidipagina"/>
          <w:rFonts w:ascii="Times New Roman" w:hAnsi="Times New Roman" w:cs="Times New Roman"/>
          <w:sz w:val="26"/>
          <w:szCs w:val="26"/>
        </w:rPr>
        <w:footnoteReference w:id="1"/>
      </w:r>
      <w:r w:rsidRPr="001F6CB4">
        <w:rPr>
          <w:rFonts w:ascii="Times New Roman" w:hAnsi="Times New Roman" w:cs="Times New Roman"/>
          <w:sz w:val="26"/>
          <w:szCs w:val="26"/>
        </w:rPr>
        <w:t xml:space="preserve">. Tale panorama spinge istituzioni/aziende </w:t>
      </w:r>
      <w:r w:rsidRPr="001F6CB4">
        <w:rPr>
          <w:rFonts w:ascii="Times New Roman" w:hAnsi="Times New Roman" w:cs="Times New Roman"/>
          <w:i/>
          <w:sz w:val="26"/>
          <w:szCs w:val="26"/>
        </w:rPr>
        <w:t>et similia</w:t>
      </w:r>
      <w:r w:rsidRPr="001F6CB4">
        <w:rPr>
          <w:rFonts w:ascii="Times New Roman" w:hAnsi="Times New Roman" w:cs="Times New Roman"/>
          <w:sz w:val="26"/>
          <w:szCs w:val="26"/>
        </w:rPr>
        <w:t xml:space="preserve"> a prediligere forme aperte </w:t>
      </w:r>
      <w:r w:rsidR="005E017A">
        <w:rPr>
          <w:rFonts w:ascii="Times New Roman" w:hAnsi="Times New Roman" w:cs="Times New Roman"/>
          <w:sz w:val="26"/>
          <w:szCs w:val="26"/>
        </w:rPr>
        <w:t xml:space="preserve">(es. </w:t>
      </w:r>
      <w:r w:rsidRPr="001F6CB4">
        <w:rPr>
          <w:rFonts w:ascii="Times New Roman" w:hAnsi="Times New Roman" w:cs="Times New Roman"/>
          <w:sz w:val="26"/>
          <w:szCs w:val="26"/>
        </w:rPr>
        <w:t>Open Innovation) e non più chiuse di organizzazione, ed ha un forte impatto sulle stesse discipline che si stanno spostando sempre più dalla specializzazione all’integrazione</w:t>
      </w:r>
      <w:r w:rsidRPr="001F6CB4">
        <w:rPr>
          <w:rStyle w:val="Rimandonotaapidipagina"/>
          <w:rFonts w:ascii="Times New Roman" w:hAnsi="Times New Roman" w:cs="Times New Roman"/>
          <w:sz w:val="26"/>
          <w:szCs w:val="26"/>
        </w:rPr>
        <w:footnoteReference w:id="2"/>
      </w:r>
      <w:r>
        <w:rPr>
          <w:rFonts w:ascii="Times New Roman" w:hAnsi="Times New Roman" w:cs="Times New Roman"/>
          <w:sz w:val="26"/>
          <w:szCs w:val="26"/>
        </w:rPr>
        <w:t>. In tale ottica gli scienziati dei servizi non possono più semplicemente specializ</w:t>
      </w:r>
      <w:r w:rsidR="005E017A">
        <w:rPr>
          <w:rFonts w:ascii="Times New Roman" w:hAnsi="Times New Roman" w:cs="Times New Roman"/>
          <w:sz w:val="26"/>
          <w:szCs w:val="26"/>
        </w:rPr>
        <w:t>zarsi in una delle dieci aree in</w:t>
      </w:r>
      <w:r>
        <w:rPr>
          <w:rFonts w:ascii="Times New Roman" w:hAnsi="Times New Roman" w:cs="Times New Roman"/>
          <w:sz w:val="26"/>
          <w:szCs w:val="26"/>
        </w:rPr>
        <w:t xml:space="preserve"> cui la letteratura suddivide la Service Science – risorse, entità di sistemi di servizi, diritti di accesso, interazioni basate sulla proposta di valore, meccanismi di governance, reti di sistemi di servizi, ecologia dei sistemi di servizi, stakeholders, misure, risultati – ma devono anche essere, in qualche misura, esperti in tutte le dieci aree per lavorare con efficienza in team </w:t>
      </w:r>
      <w:r w:rsidR="005E017A">
        <w:rPr>
          <w:rFonts w:ascii="Times New Roman" w:hAnsi="Times New Roman" w:cs="Times New Roman"/>
          <w:sz w:val="26"/>
          <w:szCs w:val="26"/>
        </w:rPr>
        <w:t xml:space="preserve">multidisciplinari </w:t>
      </w:r>
      <w:r>
        <w:rPr>
          <w:rFonts w:ascii="Times New Roman" w:hAnsi="Times New Roman" w:cs="Times New Roman"/>
          <w:sz w:val="26"/>
          <w:szCs w:val="26"/>
        </w:rPr>
        <w:t>di professionisti (abilità di comunicazione complessa, anche conosciuta come internacional expertise)</w:t>
      </w:r>
      <w:r>
        <w:rPr>
          <w:rStyle w:val="Rimandonotaapidipagina"/>
          <w:rFonts w:ascii="Times New Roman" w:hAnsi="Times New Roman" w:cs="Times New Roman"/>
          <w:sz w:val="26"/>
          <w:szCs w:val="26"/>
        </w:rPr>
        <w:footnoteReference w:id="3"/>
      </w:r>
      <w:r>
        <w:rPr>
          <w:rFonts w:ascii="Times New Roman" w:hAnsi="Times New Roman" w:cs="Times New Roman"/>
          <w:sz w:val="26"/>
          <w:szCs w:val="26"/>
        </w:rPr>
        <w:t xml:space="preserve"> </w:t>
      </w:r>
      <w:r>
        <w:rPr>
          <w:rStyle w:val="Rimandonotaapidipagina"/>
          <w:rFonts w:ascii="Times New Roman" w:hAnsi="Times New Roman" w:cs="Times New Roman"/>
          <w:sz w:val="26"/>
          <w:szCs w:val="26"/>
        </w:rPr>
        <w:footnoteReference w:id="4"/>
      </w:r>
      <w:r>
        <w:rPr>
          <w:rFonts w:ascii="Times New Roman" w:hAnsi="Times New Roman" w:cs="Times New Roman"/>
          <w:sz w:val="26"/>
          <w:szCs w:val="26"/>
        </w:rPr>
        <w:t xml:space="preserve">.  </w:t>
      </w:r>
      <w:r w:rsidRPr="001F6CB4">
        <w:rPr>
          <w:rFonts w:ascii="Times New Roman" w:hAnsi="Times New Roman" w:cs="Times New Roman"/>
          <w:sz w:val="26"/>
          <w:szCs w:val="26"/>
        </w:rPr>
        <w:t xml:space="preserve">Queste evoluzioni hanno fatto sorgere l’esigenza </w:t>
      </w:r>
      <w:r w:rsidR="005E017A">
        <w:rPr>
          <w:rFonts w:ascii="Times New Roman" w:hAnsi="Times New Roman" w:cs="Times New Roman"/>
          <w:sz w:val="26"/>
          <w:szCs w:val="26"/>
        </w:rPr>
        <w:t>di</w:t>
      </w:r>
      <w:r w:rsidRPr="001F6CB4">
        <w:rPr>
          <w:rFonts w:ascii="Times New Roman" w:hAnsi="Times New Roman" w:cs="Times New Roman"/>
          <w:sz w:val="26"/>
          <w:szCs w:val="26"/>
        </w:rPr>
        <w:t xml:space="preserve"> ricerca</w:t>
      </w:r>
      <w:r w:rsidR="005E017A">
        <w:rPr>
          <w:rFonts w:ascii="Times New Roman" w:hAnsi="Times New Roman" w:cs="Times New Roman"/>
          <w:sz w:val="26"/>
          <w:szCs w:val="26"/>
        </w:rPr>
        <w:t xml:space="preserve">re </w:t>
      </w:r>
      <w:r w:rsidRPr="001F6CB4">
        <w:rPr>
          <w:rFonts w:ascii="Times New Roman" w:hAnsi="Times New Roman" w:cs="Times New Roman"/>
          <w:sz w:val="26"/>
          <w:szCs w:val="26"/>
        </w:rPr>
        <w:t xml:space="preserve">una figura professionale specializzata in una disciplina </w:t>
      </w:r>
      <w:r>
        <w:rPr>
          <w:rFonts w:ascii="Times New Roman" w:hAnsi="Times New Roman" w:cs="Times New Roman"/>
          <w:sz w:val="26"/>
          <w:szCs w:val="26"/>
        </w:rPr>
        <w:t xml:space="preserve">(con profondità in un’area di interesse) </w:t>
      </w:r>
      <w:r w:rsidRPr="001F6CB4">
        <w:rPr>
          <w:rFonts w:ascii="Times New Roman" w:hAnsi="Times New Roman" w:cs="Times New Roman"/>
          <w:sz w:val="26"/>
          <w:szCs w:val="26"/>
        </w:rPr>
        <w:t>ma allo stesso tempo perfettamente capace di collaborare con professionisti provenienti dalle p</w:t>
      </w:r>
      <w:r w:rsidR="00344BE3">
        <w:rPr>
          <w:rFonts w:ascii="Times New Roman" w:hAnsi="Times New Roman" w:cs="Times New Roman"/>
          <w:sz w:val="26"/>
          <w:szCs w:val="26"/>
        </w:rPr>
        <w:t>iù</w:t>
      </w:r>
      <w:r w:rsidRPr="001F6CB4">
        <w:rPr>
          <w:rFonts w:ascii="Times New Roman" w:hAnsi="Times New Roman" w:cs="Times New Roman"/>
          <w:sz w:val="26"/>
          <w:szCs w:val="26"/>
        </w:rPr>
        <w:t xml:space="preserve"> disparate aree disciplinari</w:t>
      </w:r>
      <w:r>
        <w:rPr>
          <w:rFonts w:ascii="Times New Roman" w:hAnsi="Times New Roman" w:cs="Times New Roman"/>
          <w:sz w:val="26"/>
          <w:szCs w:val="26"/>
        </w:rPr>
        <w:t xml:space="preserve"> (competenze </w:t>
      </w:r>
      <w:r>
        <w:rPr>
          <w:rFonts w:ascii="Times New Roman" w:hAnsi="Times New Roman" w:cs="Times New Roman"/>
          <w:sz w:val="26"/>
          <w:szCs w:val="26"/>
        </w:rPr>
        <w:lastRenderedPageBreak/>
        <w:t>trasversali)</w:t>
      </w:r>
      <w:r w:rsidRPr="001F6CB4">
        <w:rPr>
          <w:rFonts w:ascii="Times New Roman" w:hAnsi="Times New Roman" w:cs="Times New Roman"/>
          <w:sz w:val="26"/>
          <w:szCs w:val="26"/>
        </w:rPr>
        <w:t xml:space="preserve">, al fine di produrre un risultato innovativo e consentire all’azienda di mantenere il vantaggio competitivo. Da qui la nascita e l’enfasi sorta da alcuni decenni sulla figura del </w:t>
      </w:r>
      <w:r>
        <w:rPr>
          <w:rFonts w:ascii="Times New Roman" w:hAnsi="Times New Roman" w:cs="Times New Roman"/>
          <w:i/>
          <w:sz w:val="26"/>
          <w:szCs w:val="26"/>
        </w:rPr>
        <w:t>T-shaped professional</w:t>
      </w:r>
      <w:r>
        <w:rPr>
          <w:rFonts w:ascii="Times New Roman" w:hAnsi="Times New Roman" w:cs="Times New Roman"/>
          <w:sz w:val="26"/>
          <w:szCs w:val="26"/>
        </w:rPr>
        <w:t xml:space="preserve"> definito anche, per le motivazioni precedentemente ditate, </w:t>
      </w:r>
      <w:r w:rsidRPr="005931A3">
        <w:rPr>
          <w:rFonts w:ascii="Times New Roman" w:hAnsi="Times New Roman" w:cs="Times New Roman"/>
          <w:i/>
          <w:sz w:val="26"/>
          <w:szCs w:val="26"/>
        </w:rPr>
        <w:t>innovatori adattivi</w:t>
      </w:r>
      <w:r>
        <w:rPr>
          <w:rStyle w:val="Rimandonotaapidipagina"/>
          <w:rFonts w:ascii="Times New Roman" w:hAnsi="Times New Roman" w:cs="Times New Roman"/>
          <w:i/>
          <w:sz w:val="26"/>
          <w:szCs w:val="26"/>
        </w:rPr>
        <w:footnoteReference w:id="5"/>
      </w:r>
      <w:r>
        <w:rPr>
          <w:rFonts w:ascii="Times New Roman" w:hAnsi="Times New Roman" w:cs="Times New Roman"/>
          <w:sz w:val="26"/>
          <w:szCs w:val="26"/>
        </w:rPr>
        <w:t>.</w:t>
      </w: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 xml:space="preserve">In letteratura, il primo riferimento pare riconducibile agli anni ’90. </w:t>
      </w:r>
      <w:r w:rsidRPr="001F6CB4">
        <w:rPr>
          <w:rFonts w:ascii="Times New Roman" w:hAnsi="Times New Roman" w:cs="Times New Roman"/>
          <w:i/>
          <w:sz w:val="26"/>
          <w:szCs w:val="26"/>
        </w:rPr>
        <w:t>“La caccia alla ricerca di una nuova generazione di computer manager, è aperta. La British Computer Society, in un rapporto controverso pubblicato lo scorso anno, ha descritto la 'preda' come un manager ibrido che unirebbe competenze di gestione a competenze nel campo dell'informazione tecnologica. Il manager ibrido - si dice - si distinguerebbe per la sua capacità di relazionarsi ad ampio spettro e comprendere le motivazioni e le aspirazioni della popolazione; lui o lei sarebbe anche energico,</w:t>
      </w:r>
      <w:r w:rsidR="00344BE3">
        <w:rPr>
          <w:rFonts w:ascii="Times New Roman" w:hAnsi="Times New Roman" w:cs="Times New Roman"/>
          <w:i/>
          <w:sz w:val="26"/>
          <w:szCs w:val="26"/>
        </w:rPr>
        <w:t xml:space="preserve"> intuitivo, un buon ascoltatore</w:t>
      </w:r>
      <w:r w:rsidRPr="001F6CB4">
        <w:rPr>
          <w:rFonts w:ascii="Times New Roman" w:hAnsi="Times New Roman" w:cs="Times New Roman"/>
          <w:i/>
          <w:sz w:val="26"/>
          <w:szCs w:val="26"/>
        </w:rPr>
        <w:t xml:space="preserve"> e (cripticamente) avrebbe un insolito insieme di interessi. Questo tipo di personalità completa è ricercata anche in altri rami della stessa teoria, che premia gli individui detti 'a forma di T'. Si tratta di una variazione dell’uomo rinascimentale, altrettanto a propr</w:t>
      </w:r>
      <w:r w:rsidR="000E1A3B">
        <w:rPr>
          <w:rFonts w:ascii="Times New Roman" w:hAnsi="Times New Roman" w:cs="Times New Roman"/>
          <w:i/>
          <w:sz w:val="26"/>
          <w:szCs w:val="26"/>
        </w:rPr>
        <w:t>io agio con i sistemi informatic</w:t>
      </w:r>
      <w:r w:rsidRPr="001F6CB4">
        <w:rPr>
          <w:rFonts w:ascii="Times New Roman" w:hAnsi="Times New Roman" w:cs="Times New Roman"/>
          <w:i/>
          <w:sz w:val="26"/>
          <w:szCs w:val="26"/>
        </w:rPr>
        <w:t>i, le moderne tecniche di gestione e la scala a 12 toni”</w:t>
      </w:r>
      <w:r w:rsidRPr="001F6CB4">
        <w:rPr>
          <w:rStyle w:val="Rimandonotaapidipagina"/>
          <w:rFonts w:ascii="Times New Roman" w:hAnsi="Times New Roman" w:cs="Times New Roman"/>
          <w:i/>
          <w:sz w:val="26"/>
          <w:szCs w:val="26"/>
        </w:rPr>
        <w:footnoteReference w:id="6"/>
      </w:r>
      <w:r w:rsidRPr="001F6CB4">
        <w:rPr>
          <w:rFonts w:ascii="Times New Roman" w:hAnsi="Times New Roman" w:cs="Times New Roman"/>
          <w:sz w:val="26"/>
          <w:szCs w:val="26"/>
        </w:rPr>
        <w:t>.</w:t>
      </w: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 xml:space="preserve">Il nucleo dell’articolo citato - come evidente - riporta uno studio del 1990 della British Computer Society pubblicato da Palmer, che lo collega al Michael Earl a Oxford. </w:t>
      </w:r>
      <w:r w:rsidRPr="001F6CB4">
        <w:rPr>
          <w:rFonts w:ascii="Times New Roman" w:hAnsi="Times New Roman" w:cs="Times New Roman"/>
          <w:i/>
          <w:sz w:val="26"/>
          <w:szCs w:val="26"/>
        </w:rPr>
        <w:t>“I</w:t>
      </w:r>
      <w:r>
        <w:rPr>
          <w:rFonts w:ascii="Times New Roman" w:hAnsi="Times New Roman" w:cs="Times New Roman"/>
          <w:i/>
          <w:sz w:val="26"/>
          <w:szCs w:val="26"/>
        </w:rPr>
        <w:t xml:space="preserve"> manager</w:t>
      </w:r>
      <w:r w:rsidRPr="001F6CB4">
        <w:rPr>
          <w:rFonts w:ascii="Times New Roman" w:hAnsi="Times New Roman" w:cs="Times New Roman"/>
          <w:i/>
          <w:sz w:val="26"/>
          <w:szCs w:val="26"/>
        </w:rPr>
        <w:t xml:space="preserve"> ibridi sono fondamentali. [....] Il termine è stato coniato da Michael Earl, Direttore della OXIIM del Templeton College di Oxford, sorto dopo una serie di ricerche che egli e i suoi colleghi avevano intrapreso. I ricercatori notarono che in tutti i casi significativi in cui vi era stata </w:t>
      </w:r>
      <w:r w:rsidRPr="001F6CB4">
        <w:rPr>
          <w:rFonts w:ascii="Times New Roman" w:hAnsi="Times New Roman" w:cs="Times New Roman"/>
          <w:i/>
          <w:sz w:val="26"/>
          <w:szCs w:val="26"/>
        </w:rPr>
        <w:lastRenderedPageBreak/>
        <w:t xml:space="preserve">un’implementazione riuscita delle tecnologie dell'informazione per ottenere vantaggio competitivo o grandi cambiamenti nelle organizzazioni, sembrava che ci fosse una persona al centro dello sviluppo che mostrava una certa esperienza e date caratteristiche. Queste erano: una comprensione del business e di cosa fosse richiesto all'interno del business, unita ad una competenza tecnica che permetteva loro di capire che cosa fosse stato richiesto in termini tecnici, tra cui la portata di ciò che veniva programmato. In aggiunta a questo, essi dimostravano due tipi di capacità organizzative. Sapevano come </w:t>
      </w:r>
      <w:r w:rsidR="000E1A3B" w:rsidRPr="001F6CB4">
        <w:rPr>
          <w:rFonts w:ascii="Times New Roman" w:hAnsi="Times New Roman" w:cs="Times New Roman"/>
          <w:i/>
          <w:sz w:val="26"/>
          <w:szCs w:val="26"/>
        </w:rPr>
        <w:t>incrementare</w:t>
      </w:r>
      <w:r w:rsidRPr="001F6CB4">
        <w:rPr>
          <w:rFonts w:ascii="Times New Roman" w:hAnsi="Times New Roman" w:cs="Times New Roman"/>
          <w:i/>
          <w:sz w:val="26"/>
          <w:szCs w:val="26"/>
        </w:rPr>
        <w:t xml:space="preserve"> il business, ciò implicava una buona conoscenza dell'azienda e dell’ambiente circostante, inoltre sapevano come fare bene le cose, grazie al possesso di un insieme </w:t>
      </w:r>
      <w:r w:rsidR="00944E4E">
        <w:rPr>
          <w:rFonts w:ascii="Times New Roman" w:hAnsi="Times New Roman" w:cs="Times New Roman"/>
          <w:i/>
          <w:sz w:val="26"/>
          <w:szCs w:val="26"/>
        </w:rPr>
        <w:t xml:space="preserve">di eccellenti abilità sociali come </w:t>
      </w:r>
      <w:r w:rsidRPr="001F6CB4">
        <w:rPr>
          <w:rFonts w:ascii="Times New Roman" w:hAnsi="Times New Roman" w:cs="Times New Roman"/>
          <w:i/>
          <w:sz w:val="26"/>
          <w:szCs w:val="26"/>
        </w:rPr>
        <w:t>ascoltare, capire, negoziare e convincere”</w:t>
      </w:r>
      <w:r w:rsidRPr="001F6CB4">
        <w:rPr>
          <w:rStyle w:val="Rimandonotaapidipagina"/>
          <w:rFonts w:ascii="Times New Roman" w:hAnsi="Times New Roman" w:cs="Times New Roman"/>
          <w:i/>
          <w:sz w:val="26"/>
          <w:szCs w:val="26"/>
        </w:rPr>
        <w:footnoteReference w:id="7"/>
      </w:r>
      <w:r w:rsidRPr="001F6CB4">
        <w:rPr>
          <w:rFonts w:ascii="Times New Roman" w:hAnsi="Times New Roman" w:cs="Times New Roman"/>
          <w:i/>
          <w:sz w:val="26"/>
          <w:szCs w:val="26"/>
        </w:rPr>
        <w:t>.</w:t>
      </w: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p>
    <w:p w:rsidR="00A133F9"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L'attenzione è focalizzata sui manager ibridi ma il contesto all’interno del quale essi lavorano è composto da figure diverse come visionari, impresari e specialisti. “</w:t>
      </w:r>
      <w:r w:rsidRPr="001F6CB4">
        <w:rPr>
          <w:rFonts w:ascii="Times New Roman" w:hAnsi="Times New Roman" w:cs="Times New Roman"/>
          <w:i/>
          <w:sz w:val="26"/>
          <w:szCs w:val="26"/>
        </w:rPr>
        <w:t xml:space="preserve">Appariva chiaro -  a partire da questi casi – che i manager ibridi non operassero isolatamente ma che vi fossero altri importanti ruoli rivestiti da ulteriore personale </w:t>
      </w:r>
      <w:r w:rsidR="00766BE3">
        <w:rPr>
          <w:rFonts w:ascii="Times New Roman" w:hAnsi="Times New Roman" w:cs="Times New Roman"/>
          <w:i/>
          <w:sz w:val="26"/>
          <w:szCs w:val="26"/>
        </w:rPr>
        <w:t>che collaborava</w:t>
      </w:r>
      <w:r w:rsidRPr="001F6CB4">
        <w:rPr>
          <w:rFonts w:ascii="Times New Roman" w:hAnsi="Times New Roman" w:cs="Times New Roman"/>
          <w:i/>
          <w:sz w:val="26"/>
          <w:szCs w:val="26"/>
        </w:rPr>
        <w:t xml:space="preserve"> con gli stessi manager: i visionari, gli impresari e gli specialisti. Di norma i visionari erano descritti come quei leader che avevano concepito una particolare idea sull'utilizzo dell'Information Technology nel business; quelle stesse persone che avevano poi condiviso la visione con il manager ibrido che aveva successivamente sposato, sviluppato e messo in atto quella visione. Gli impresari erano invece i fornitori di risorse e supporti necessari a consentire al manager ibrido di offrire ciò che era stato richiesto. Gli specialisti infine erano gli esperti tecnici in grado di progettare e sviluppare il sistema specifico</w:t>
      </w:r>
      <w:r w:rsidRPr="001F6CB4">
        <w:rPr>
          <w:rFonts w:ascii="Times New Roman" w:hAnsi="Times New Roman" w:cs="Times New Roman"/>
          <w:sz w:val="26"/>
          <w:szCs w:val="26"/>
        </w:rPr>
        <w:t>”</w:t>
      </w:r>
      <w:r w:rsidRPr="001F6CB4">
        <w:rPr>
          <w:rStyle w:val="Rimandonotaapidipagina"/>
          <w:rFonts w:ascii="Times New Roman" w:hAnsi="Times New Roman" w:cs="Times New Roman"/>
          <w:sz w:val="26"/>
          <w:szCs w:val="26"/>
        </w:rPr>
        <w:footnoteReference w:id="8"/>
      </w:r>
      <w:r w:rsidRPr="001F6CB4">
        <w:rPr>
          <w:rFonts w:ascii="Times New Roman" w:hAnsi="Times New Roman" w:cs="Times New Roman"/>
          <w:sz w:val="26"/>
          <w:szCs w:val="26"/>
        </w:rPr>
        <w:t>.</w:t>
      </w:r>
    </w:p>
    <w:p w:rsidR="005E017A" w:rsidRDefault="005E017A" w:rsidP="00A133F9">
      <w:pPr>
        <w:spacing w:before="40" w:after="40" w:line="360" w:lineRule="auto"/>
        <w:ind w:left="1134" w:right="1134"/>
        <w:jc w:val="both"/>
        <w:rPr>
          <w:rFonts w:ascii="Times New Roman" w:hAnsi="Times New Roman" w:cs="Times New Roman"/>
          <w:sz w:val="26"/>
          <w:szCs w:val="26"/>
        </w:rPr>
      </w:pPr>
    </w:p>
    <w:p w:rsidR="00A133F9" w:rsidRPr="001F6CB4" w:rsidRDefault="00FF4B00" w:rsidP="00A133F9">
      <w:pPr>
        <w:spacing w:before="40" w:after="40" w:line="360" w:lineRule="auto"/>
        <w:ind w:left="1134" w:right="1134"/>
        <w:jc w:val="both"/>
        <w:rPr>
          <w:rFonts w:ascii="Times New Roman" w:hAnsi="Times New Roman" w:cs="Times New Roman"/>
          <w:sz w:val="26"/>
          <w:szCs w:val="26"/>
        </w:rPr>
      </w:pPr>
      <w:r>
        <w:rPr>
          <w:rFonts w:ascii="Times New Roman" w:hAnsi="Times New Roman" w:cs="Times New Roman"/>
          <w:sz w:val="26"/>
          <w:szCs w:val="26"/>
        </w:rPr>
        <w:t>1.1</w:t>
      </w:r>
      <w:r w:rsidR="00A133F9">
        <w:rPr>
          <w:rFonts w:ascii="Times New Roman" w:hAnsi="Times New Roman" w:cs="Times New Roman"/>
          <w:sz w:val="26"/>
          <w:szCs w:val="26"/>
        </w:rPr>
        <w:t xml:space="preserve"> T-shaped professional: non si può giudicare sulla sola base del curriculum. La visione del CEO di IDEO Tim Brown</w:t>
      </w:r>
    </w:p>
    <w:p w:rsidR="00A133F9" w:rsidRPr="001F6CB4" w:rsidRDefault="00A133F9" w:rsidP="00A133F9">
      <w:pPr>
        <w:spacing w:before="40" w:after="40" w:line="360" w:lineRule="auto"/>
        <w:ind w:right="1134"/>
        <w:jc w:val="both"/>
        <w:rPr>
          <w:rFonts w:ascii="Times New Roman" w:hAnsi="Times New Roman" w:cs="Times New Roman"/>
          <w:sz w:val="26"/>
          <w:szCs w:val="26"/>
        </w:rPr>
      </w:pP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 xml:space="preserve">Una delle prime e più compiute definizioni del termine </w:t>
      </w:r>
      <w:r w:rsidRPr="001F6CB4">
        <w:rPr>
          <w:rFonts w:ascii="Times New Roman" w:hAnsi="Times New Roman" w:cs="Times New Roman"/>
          <w:i/>
          <w:sz w:val="26"/>
          <w:szCs w:val="26"/>
        </w:rPr>
        <w:t>T-shaped</w:t>
      </w:r>
      <w:r w:rsidRPr="001F6CB4">
        <w:rPr>
          <w:rFonts w:ascii="Times New Roman" w:hAnsi="Times New Roman" w:cs="Times New Roman"/>
          <w:sz w:val="26"/>
          <w:szCs w:val="26"/>
        </w:rPr>
        <w:t xml:space="preserve"> ci viene fornita da Tim Brown</w:t>
      </w:r>
      <w:r w:rsidRPr="001F6CB4">
        <w:rPr>
          <w:rStyle w:val="Rimandonotaapidipagina"/>
          <w:rFonts w:ascii="Times New Roman" w:hAnsi="Times New Roman" w:cs="Times New Roman"/>
          <w:sz w:val="26"/>
          <w:szCs w:val="26"/>
        </w:rPr>
        <w:footnoteReference w:id="9"/>
      </w:r>
      <w:r w:rsidRPr="001F6CB4">
        <w:rPr>
          <w:rFonts w:ascii="Times New Roman" w:hAnsi="Times New Roman" w:cs="Times New Roman"/>
          <w:sz w:val="26"/>
          <w:szCs w:val="26"/>
        </w:rPr>
        <w:t>, CEO di IDEO</w:t>
      </w:r>
      <w:r w:rsidRPr="001F6CB4">
        <w:rPr>
          <w:rStyle w:val="Rimandonotaapidipagina"/>
          <w:rFonts w:ascii="Times New Roman" w:hAnsi="Times New Roman" w:cs="Times New Roman"/>
          <w:sz w:val="26"/>
          <w:szCs w:val="26"/>
        </w:rPr>
        <w:footnoteReference w:id="10"/>
      </w:r>
      <w:r w:rsidRPr="001F6CB4">
        <w:rPr>
          <w:rFonts w:ascii="Times New Roman" w:hAnsi="Times New Roman" w:cs="Times New Roman"/>
          <w:sz w:val="26"/>
          <w:szCs w:val="26"/>
        </w:rPr>
        <w:t xml:space="preserve">. </w:t>
      </w:r>
      <w:r w:rsidRPr="001F6CB4">
        <w:rPr>
          <w:rFonts w:ascii="Times New Roman" w:hAnsi="Times New Roman" w:cs="Times New Roman"/>
          <w:i/>
          <w:sz w:val="26"/>
          <w:szCs w:val="26"/>
        </w:rPr>
        <w:t>“Le T-shaped people (persone a forma di T) hanno due tipi di caratteristiche, da qui l’utilizzo della lettera ‘T’ per descriverle. Il tratto verticale della ‘T’ indica la profondità di una competenza (in un campo disciplinare) che permette loro di contribuire al processo creativo. […] Il tratto orizzontale della ‘T’ indica invece l’inclinazione alla collaborazione fra le varie discipline. Quest’ultima è composta da due elementi. In primo luogo l'empatia, che consente alle persone di immaginare il problema da un’altra prospettiva, ‘di stare nelle scarpe di qualcun altro’ e – in secondo luogo – di consentire ai soggetti di essere molto entusiasti delle discipline altrui, al punto che potrebbero effettivamente iniziare a coltivarle. Le T-shaped people hanno sia prof</w:t>
      </w:r>
      <w:r>
        <w:rPr>
          <w:rFonts w:ascii="Times New Roman" w:hAnsi="Times New Roman" w:cs="Times New Roman"/>
          <w:i/>
          <w:sz w:val="26"/>
          <w:szCs w:val="26"/>
        </w:rPr>
        <w:t xml:space="preserve">ondità </w:t>
      </w:r>
      <w:r w:rsidRPr="001F6CB4">
        <w:rPr>
          <w:rFonts w:ascii="Times New Roman" w:hAnsi="Times New Roman" w:cs="Times New Roman"/>
          <w:i/>
          <w:sz w:val="26"/>
          <w:szCs w:val="26"/>
        </w:rPr>
        <w:t>che ampiezza nelle loro competenze”</w:t>
      </w:r>
      <w:r w:rsidRPr="001F6CB4">
        <w:rPr>
          <w:rStyle w:val="Rimandonotaapidipagina"/>
          <w:rFonts w:ascii="Times New Roman" w:hAnsi="Times New Roman" w:cs="Times New Roman"/>
          <w:i/>
          <w:sz w:val="26"/>
          <w:szCs w:val="26"/>
        </w:rPr>
        <w:footnoteReference w:id="11"/>
      </w:r>
      <w:r w:rsidRPr="001F6CB4">
        <w:rPr>
          <w:rFonts w:ascii="Times New Roman" w:hAnsi="Times New Roman" w:cs="Times New Roman"/>
          <w:i/>
          <w:sz w:val="26"/>
          <w:szCs w:val="26"/>
        </w:rPr>
        <w:t>.</w:t>
      </w:r>
    </w:p>
    <w:p w:rsidR="00A133F9" w:rsidRPr="001F6CB4" w:rsidRDefault="00A133F9" w:rsidP="00A133F9">
      <w:pPr>
        <w:spacing w:before="40" w:after="40" w:line="360" w:lineRule="auto"/>
        <w:ind w:right="1134"/>
        <w:jc w:val="both"/>
        <w:rPr>
          <w:rFonts w:ascii="Times New Roman" w:hAnsi="Times New Roman" w:cs="Times New Roman"/>
          <w:sz w:val="26"/>
          <w:szCs w:val="26"/>
        </w:rPr>
      </w:pPr>
    </w:p>
    <w:p w:rsidR="00A133F9" w:rsidRPr="001F6CB4" w:rsidRDefault="00A133F9" w:rsidP="00A133F9">
      <w:pPr>
        <w:spacing w:before="40" w:after="40" w:line="360" w:lineRule="auto"/>
        <w:ind w:left="1134" w:right="1134"/>
        <w:jc w:val="both"/>
        <w:rPr>
          <w:rFonts w:ascii="Times New Roman" w:hAnsi="Times New Roman" w:cs="Times New Roman"/>
          <w:i/>
          <w:sz w:val="26"/>
          <w:szCs w:val="26"/>
        </w:rPr>
      </w:pPr>
      <w:r w:rsidRPr="001F6CB4">
        <w:rPr>
          <w:rFonts w:ascii="Times New Roman" w:hAnsi="Times New Roman" w:cs="Times New Roman"/>
          <w:i/>
          <w:sz w:val="26"/>
          <w:szCs w:val="26"/>
        </w:rPr>
        <w:t xml:space="preserve">“La maggior parte delle aziende posseggono molte persone con competenze diverse. Il problema è che, quando queste persone lavorano insieme ad uno stesso problema, se tutto ciò che hanno sono singole competenze sarà molto difficile per loro collaborare. Ciò che tende ad accadere è che ciascuna singola disciplina rappresenta il proprio punto di vista. In pratica diventa una trattativa a tavolino su </w:t>
      </w:r>
      <w:r w:rsidRPr="001F6CB4">
        <w:rPr>
          <w:rFonts w:ascii="Times New Roman" w:hAnsi="Times New Roman" w:cs="Times New Roman"/>
          <w:i/>
          <w:sz w:val="26"/>
          <w:szCs w:val="26"/>
        </w:rPr>
        <w:lastRenderedPageBreak/>
        <w:t>quale punto di vista debba vincere, e ciò avviene quando si giunge ad un grigio compromesso dove il meglio che si può ottenere è un minimo comun denominatore tra tutti i punti di vista. I risultati non sono mai spettacolari, ma nella media.</w:t>
      </w:r>
      <w:r w:rsidRPr="001F6CB4">
        <w:rPr>
          <w:rFonts w:ascii="Times New Roman" w:hAnsi="Times New Roman" w:cs="Times New Roman"/>
          <w:sz w:val="26"/>
          <w:szCs w:val="26"/>
        </w:rPr>
        <w:t xml:space="preserve"> </w:t>
      </w:r>
      <w:r w:rsidRPr="001F6CB4">
        <w:rPr>
          <w:rFonts w:ascii="Times New Roman" w:hAnsi="Times New Roman" w:cs="Times New Roman"/>
          <w:i/>
          <w:sz w:val="26"/>
          <w:szCs w:val="26"/>
        </w:rPr>
        <w:t>La realtà è che quando le persone escono dalla scuola spesso sono a forma di I. La nostra sfida, e la sfida di chiunque stia cercando di utilizzare questa idea di collaborazione, è quello di cercare le persone in cui vi è un innato potenziale a forma di T”</w:t>
      </w:r>
      <w:r w:rsidRPr="001F6CB4">
        <w:rPr>
          <w:rStyle w:val="Rimandonotaapidipagina"/>
          <w:rFonts w:ascii="Times New Roman" w:hAnsi="Times New Roman" w:cs="Times New Roman"/>
          <w:i/>
          <w:sz w:val="26"/>
          <w:szCs w:val="26"/>
        </w:rPr>
        <w:footnoteReference w:id="12"/>
      </w:r>
      <w:r w:rsidRPr="001F6CB4">
        <w:rPr>
          <w:rFonts w:ascii="Times New Roman" w:hAnsi="Times New Roman" w:cs="Times New Roman"/>
          <w:i/>
          <w:sz w:val="26"/>
          <w:szCs w:val="26"/>
        </w:rPr>
        <w:t>.</w:t>
      </w:r>
    </w:p>
    <w:p w:rsidR="00A133F9" w:rsidRPr="001F6CB4" w:rsidRDefault="00A133F9" w:rsidP="00A133F9">
      <w:pPr>
        <w:spacing w:before="40" w:after="40" w:line="360" w:lineRule="auto"/>
        <w:ind w:left="1134" w:right="1134"/>
        <w:jc w:val="both"/>
        <w:rPr>
          <w:rFonts w:ascii="Times New Roman" w:hAnsi="Times New Roman" w:cs="Times New Roman"/>
          <w:i/>
          <w:sz w:val="26"/>
          <w:szCs w:val="26"/>
        </w:rPr>
      </w:pPr>
    </w:p>
    <w:p w:rsidR="00A133F9" w:rsidRDefault="00A133F9" w:rsidP="00A133F9">
      <w:pPr>
        <w:spacing w:before="40" w:after="40" w:line="360" w:lineRule="auto"/>
        <w:ind w:left="1134" w:right="1134"/>
        <w:jc w:val="both"/>
        <w:rPr>
          <w:rFonts w:ascii="Times New Roman" w:hAnsi="Times New Roman" w:cs="Times New Roman"/>
          <w:i/>
          <w:sz w:val="26"/>
          <w:szCs w:val="26"/>
        </w:rPr>
      </w:pPr>
      <w:r w:rsidRPr="001F6CB4">
        <w:rPr>
          <w:rFonts w:ascii="Times New Roman" w:hAnsi="Times New Roman" w:cs="Times New Roman"/>
          <w:sz w:val="26"/>
          <w:szCs w:val="26"/>
        </w:rPr>
        <w:t xml:space="preserve">Da un punto di vista puramente aziendale non vi è un criterio unico ed universale per la selezione di professionisti </w:t>
      </w:r>
      <w:r w:rsidRPr="001F6CB4">
        <w:rPr>
          <w:rFonts w:ascii="Times New Roman" w:hAnsi="Times New Roman" w:cs="Times New Roman"/>
          <w:i/>
          <w:sz w:val="26"/>
          <w:szCs w:val="26"/>
        </w:rPr>
        <w:t>T-shaped</w:t>
      </w:r>
      <w:r w:rsidRPr="001F6CB4">
        <w:rPr>
          <w:rFonts w:ascii="Times New Roman" w:hAnsi="Times New Roman" w:cs="Times New Roman"/>
          <w:sz w:val="26"/>
          <w:szCs w:val="26"/>
        </w:rPr>
        <w:t xml:space="preserve">. Per Brown: </w:t>
      </w:r>
      <w:r w:rsidRPr="001F6CB4">
        <w:rPr>
          <w:rFonts w:ascii="Times New Roman" w:hAnsi="Times New Roman" w:cs="Times New Roman"/>
          <w:i/>
          <w:sz w:val="26"/>
          <w:szCs w:val="26"/>
        </w:rPr>
        <w:t xml:space="preserve">“Non si può giudicare solo sulla base del loro curriculum. Si vede da come (i candidati) parlano delle persone con cui hanno collaborato. Quando ti </w:t>
      </w:r>
      <w:r w:rsidR="00CC5B99">
        <w:rPr>
          <w:rFonts w:ascii="Times New Roman" w:hAnsi="Times New Roman" w:cs="Times New Roman"/>
          <w:i/>
          <w:sz w:val="26"/>
          <w:szCs w:val="26"/>
        </w:rPr>
        <w:t>siedi con qualcuno e chiedi dei progetti dei quali si è occupato, e tutto ciò di cui parla è quello che egli stesso ha</w:t>
      </w:r>
      <w:r w:rsidRPr="001F6CB4">
        <w:rPr>
          <w:rFonts w:ascii="Times New Roman" w:hAnsi="Times New Roman" w:cs="Times New Roman"/>
          <w:i/>
          <w:sz w:val="26"/>
          <w:szCs w:val="26"/>
        </w:rPr>
        <w:t xml:space="preserve"> fatto</w:t>
      </w:r>
      <w:r w:rsidR="00CC5B99">
        <w:rPr>
          <w:rFonts w:ascii="Times New Roman" w:hAnsi="Times New Roman" w:cs="Times New Roman"/>
          <w:i/>
          <w:sz w:val="26"/>
          <w:szCs w:val="26"/>
        </w:rPr>
        <w:t>,</w:t>
      </w:r>
      <w:r w:rsidRPr="001F6CB4">
        <w:rPr>
          <w:rFonts w:ascii="Times New Roman" w:hAnsi="Times New Roman" w:cs="Times New Roman"/>
          <w:i/>
          <w:sz w:val="26"/>
          <w:szCs w:val="26"/>
        </w:rPr>
        <w:t xml:space="preserve"> è un problema. La persona giusta per noi parlerà di che cosa hanno fatto </w:t>
      </w:r>
      <w:r w:rsidR="00CC5B99">
        <w:rPr>
          <w:rFonts w:ascii="Times New Roman" w:hAnsi="Times New Roman" w:cs="Times New Roman"/>
          <w:i/>
          <w:sz w:val="26"/>
          <w:szCs w:val="26"/>
        </w:rPr>
        <w:t xml:space="preserve">le </w:t>
      </w:r>
      <w:r w:rsidRPr="001F6CB4">
        <w:rPr>
          <w:rFonts w:ascii="Times New Roman" w:hAnsi="Times New Roman" w:cs="Times New Roman"/>
          <w:i/>
          <w:sz w:val="26"/>
          <w:szCs w:val="26"/>
        </w:rPr>
        <w:t>altre persone per contrib</w:t>
      </w:r>
      <w:r>
        <w:rPr>
          <w:rFonts w:ascii="Times New Roman" w:hAnsi="Times New Roman" w:cs="Times New Roman"/>
          <w:i/>
          <w:sz w:val="26"/>
          <w:szCs w:val="26"/>
        </w:rPr>
        <w:t>uire alla realizzazione del</w:t>
      </w:r>
      <w:r w:rsidRPr="001F6CB4">
        <w:rPr>
          <w:rFonts w:ascii="Times New Roman" w:hAnsi="Times New Roman" w:cs="Times New Roman"/>
          <w:i/>
          <w:sz w:val="26"/>
          <w:szCs w:val="26"/>
        </w:rPr>
        <w:t xml:space="preserve"> progetto. Ci sono alcune prove di empatia, collaborazione e</w:t>
      </w:r>
      <w:r>
        <w:rPr>
          <w:rFonts w:ascii="Times New Roman" w:hAnsi="Times New Roman" w:cs="Times New Roman"/>
          <w:i/>
          <w:sz w:val="26"/>
          <w:szCs w:val="26"/>
        </w:rPr>
        <w:t>d</w:t>
      </w:r>
      <w:r w:rsidRPr="001F6CB4">
        <w:rPr>
          <w:rFonts w:ascii="Times New Roman" w:hAnsi="Times New Roman" w:cs="Times New Roman"/>
          <w:i/>
          <w:sz w:val="26"/>
          <w:szCs w:val="26"/>
        </w:rPr>
        <w:t xml:space="preserve"> interesse a lavorare con altre persone. Inoltre, si guarda ovviamente alla capacità di l</w:t>
      </w:r>
      <w:r>
        <w:rPr>
          <w:rFonts w:ascii="Times New Roman" w:hAnsi="Times New Roman" w:cs="Times New Roman"/>
          <w:i/>
          <w:sz w:val="26"/>
          <w:szCs w:val="26"/>
        </w:rPr>
        <w:t>avorare su progetti, anche a scuola. Una</w:t>
      </w:r>
      <w:r w:rsidRPr="001F6CB4">
        <w:rPr>
          <w:rFonts w:ascii="Times New Roman" w:hAnsi="Times New Roman" w:cs="Times New Roman"/>
          <w:i/>
          <w:sz w:val="26"/>
          <w:szCs w:val="26"/>
        </w:rPr>
        <w:t xml:space="preserve"> delle ragioni per cui noi assumiamo così tante persone provenienti dalla D-school [The Hasso Plattner Institute of Design] a Stanford è perché agli studenti viene insegnato ad essere a forma di T. Ammettiamolo</w:t>
      </w:r>
      <w:r w:rsidR="007B18A6">
        <w:rPr>
          <w:rFonts w:ascii="Times New Roman" w:hAnsi="Times New Roman" w:cs="Times New Roman"/>
          <w:i/>
          <w:sz w:val="26"/>
          <w:szCs w:val="26"/>
        </w:rPr>
        <w:t xml:space="preserve">: assumere persone a forma di T </w:t>
      </w:r>
      <w:r w:rsidRPr="001F6CB4">
        <w:rPr>
          <w:rFonts w:ascii="Times New Roman" w:hAnsi="Times New Roman" w:cs="Times New Roman"/>
          <w:i/>
          <w:sz w:val="26"/>
          <w:szCs w:val="26"/>
        </w:rPr>
        <w:t>è più complesso che assumere persone a forma di I. Più complesse sono le vostre esigenze circa le caratteristiche del personale da assumere, più sarà necessario il contatto con queste persone prima di assumerle. Ecco perché i programmi interni sono cruciali. Abbiamo molti stagisti, proprio per conoscerli prima di assumerli”.</w:t>
      </w:r>
    </w:p>
    <w:p w:rsidR="00A133F9" w:rsidRDefault="00A133F9" w:rsidP="00A133F9">
      <w:pPr>
        <w:spacing w:before="40" w:after="40" w:line="360" w:lineRule="auto"/>
        <w:ind w:left="1134" w:right="1134"/>
        <w:jc w:val="both"/>
        <w:rPr>
          <w:rFonts w:ascii="Times New Roman" w:hAnsi="Times New Roman" w:cs="Times New Roman"/>
          <w:i/>
          <w:sz w:val="26"/>
          <w:szCs w:val="26"/>
        </w:rPr>
      </w:pPr>
    </w:p>
    <w:p w:rsidR="00A133F9" w:rsidRPr="001F6CB4" w:rsidRDefault="00A133F9" w:rsidP="00A133F9">
      <w:pPr>
        <w:rPr>
          <w:rFonts w:ascii="Times New Roman" w:hAnsi="Times New Roman" w:cs="Times New Roman"/>
          <w:i/>
          <w:sz w:val="26"/>
          <w:szCs w:val="26"/>
        </w:rPr>
      </w:pPr>
      <w:r>
        <w:rPr>
          <w:rFonts w:ascii="Times New Roman" w:hAnsi="Times New Roman" w:cs="Times New Roman"/>
          <w:i/>
          <w:sz w:val="26"/>
          <w:szCs w:val="26"/>
        </w:rPr>
        <w:lastRenderedPageBreak/>
        <w:br w:type="page"/>
      </w:r>
    </w:p>
    <w:p w:rsidR="00A133F9" w:rsidRPr="00A20868" w:rsidRDefault="00FF4B00" w:rsidP="00A133F9">
      <w:pPr>
        <w:spacing w:before="40" w:after="40" w:line="360" w:lineRule="auto"/>
        <w:ind w:left="1134" w:right="1134"/>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1.2</w:t>
      </w:r>
      <w:r w:rsidR="00A133F9" w:rsidRPr="00A20868">
        <w:rPr>
          <w:rFonts w:ascii="Times New Roman" w:hAnsi="Times New Roman" w:cs="Times New Roman"/>
          <w:sz w:val="26"/>
          <w:szCs w:val="26"/>
          <w:lang w:val="en-US"/>
        </w:rPr>
        <w:t xml:space="preserve"> I-shaped, H-shaped,</w:t>
      </w:r>
      <w:r w:rsidR="00A133F9">
        <w:rPr>
          <w:rFonts w:ascii="Times New Roman" w:hAnsi="Times New Roman" w:cs="Times New Roman"/>
          <w:sz w:val="26"/>
          <w:szCs w:val="26"/>
          <w:lang w:val="en-US"/>
        </w:rPr>
        <w:t xml:space="preserve"> T-shaped or</w:t>
      </w:r>
      <w:r w:rsidR="00A133F9" w:rsidRPr="00A20868">
        <w:rPr>
          <w:rFonts w:ascii="Times New Roman" w:hAnsi="Times New Roman" w:cs="Times New Roman"/>
          <w:sz w:val="26"/>
          <w:szCs w:val="26"/>
          <w:lang w:val="en-US"/>
        </w:rPr>
        <w:t xml:space="preserve"> Dash-shaped</w:t>
      </w:r>
      <w:r w:rsidR="00A133F9">
        <w:rPr>
          <w:rFonts w:ascii="Times New Roman" w:hAnsi="Times New Roman" w:cs="Times New Roman"/>
          <w:sz w:val="26"/>
          <w:szCs w:val="26"/>
          <w:lang w:val="en-US"/>
        </w:rPr>
        <w:t>?</w:t>
      </w:r>
    </w:p>
    <w:p w:rsidR="00A133F9" w:rsidRPr="00A20868" w:rsidRDefault="00A133F9" w:rsidP="00A133F9">
      <w:pPr>
        <w:spacing w:before="40" w:after="40" w:line="360" w:lineRule="auto"/>
        <w:ind w:left="1134" w:right="1134"/>
        <w:jc w:val="both"/>
        <w:rPr>
          <w:rFonts w:ascii="Times New Roman" w:hAnsi="Times New Roman" w:cs="Times New Roman"/>
          <w:sz w:val="26"/>
          <w:szCs w:val="26"/>
          <w:lang w:val="en-US"/>
        </w:rPr>
      </w:pPr>
    </w:p>
    <w:p w:rsidR="00A133F9"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La configurazione delle competenze a forma di T è stata - a partire già dagli anni ’90 - esplicitamente illu</w:t>
      </w:r>
      <w:r>
        <w:rPr>
          <w:rFonts w:ascii="Times New Roman" w:hAnsi="Times New Roman" w:cs="Times New Roman"/>
          <w:sz w:val="26"/>
          <w:szCs w:val="26"/>
        </w:rPr>
        <w:t>strata.</w:t>
      </w: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p>
    <w:p w:rsidR="00A133F9" w:rsidRPr="00A20868" w:rsidRDefault="00A133F9" w:rsidP="00A133F9">
      <w:pPr>
        <w:spacing w:before="40" w:after="40" w:line="360" w:lineRule="auto"/>
        <w:ind w:left="1134" w:right="1134"/>
        <w:jc w:val="both"/>
        <w:rPr>
          <w:rFonts w:cs="Times New Roman"/>
          <w:sz w:val="24"/>
          <w:szCs w:val="24"/>
          <w:lang w:val="en-US"/>
        </w:rPr>
      </w:pPr>
      <w:r w:rsidRPr="00BF0BBE">
        <w:rPr>
          <w:rFonts w:cs="Times New Roman"/>
          <w:sz w:val="24"/>
          <w:szCs w:val="24"/>
        </w:rPr>
        <w:t>Fig. 6 – T-Shaped Skills</w:t>
      </w: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p>
    <w:p w:rsidR="00A133F9" w:rsidRPr="00A20868"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noProof/>
          <w:sz w:val="26"/>
          <w:szCs w:val="26"/>
          <w:lang w:eastAsia="it-IT"/>
        </w:rPr>
        <w:drawing>
          <wp:inline distT="0" distB="0" distL="0" distR="0">
            <wp:extent cx="3418872" cy="2698630"/>
            <wp:effectExtent l="0" t="0" r="0" b="698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995_leonard_wellspringsofknowledge_figure35.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418872" cy="2698630"/>
                    </a:xfrm>
                    <a:prstGeom prst="rect">
                      <a:avLst/>
                    </a:prstGeom>
                  </pic:spPr>
                </pic:pic>
              </a:graphicData>
            </a:graphic>
          </wp:inline>
        </w:drawing>
      </w:r>
    </w:p>
    <w:p w:rsidR="00A133F9" w:rsidRPr="00A20868" w:rsidRDefault="00A133F9" w:rsidP="00A133F9">
      <w:pPr>
        <w:spacing w:before="40" w:after="40" w:line="360" w:lineRule="auto"/>
        <w:ind w:left="1134" w:right="1134"/>
        <w:jc w:val="both"/>
        <w:rPr>
          <w:rFonts w:ascii="Times New Roman" w:hAnsi="Times New Roman" w:cs="Times New Roman"/>
          <w:sz w:val="26"/>
          <w:szCs w:val="26"/>
        </w:rPr>
      </w:pPr>
    </w:p>
    <w:p w:rsidR="00A133F9" w:rsidRPr="00A20868" w:rsidRDefault="00A133F9" w:rsidP="00A133F9">
      <w:pPr>
        <w:spacing w:before="40" w:after="40" w:line="360" w:lineRule="auto"/>
        <w:ind w:left="1134" w:right="1134"/>
        <w:jc w:val="both"/>
        <w:rPr>
          <w:rFonts w:cs="Times New Roman"/>
          <w:sz w:val="24"/>
          <w:szCs w:val="24"/>
        </w:rPr>
      </w:pPr>
      <w:r w:rsidRPr="00A20868">
        <w:rPr>
          <w:rFonts w:cs="Times New Roman"/>
          <w:sz w:val="24"/>
          <w:szCs w:val="24"/>
        </w:rPr>
        <w:t>Fonte: D. Leonard-Barton (1995)</w:t>
      </w:r>
      <w:r w:rsidRPr="00DA19FF">
        <w:rPr>
          <w:rStyle w:val="Rimandonotaapidipagina"/>
          <w:rFonts w:cs="Times New Roman"/>
          <w:sz w:val="24"/>
          <w:szCs w:val="24"/>
        </w:rPr>
        <w:footnoteReference w:id="13"/>
      </w:r>
    </w:p>
    <w:p w:rsidR="00A133F9" w:rsidRPr="00A20868" w:rsidRDefault="00A133F9" w:rsidP="00A133F9">
      <w:pPr>
        <w:spacing w:before="40" w:after="40" w:line="360" w:lineRule="auto"/>
        <w:ind w:right="1134"/>
        <w:jc w:val="both"/>
        <w:rPr>
          <w:rFonts w:ascii="Times New Roman" w:hAnsi="Times New Roman" w:cs="Times New Roman"/>
          <w:sz w:val="26"/>
          <w:szCs w:val="26"/>
        </w:rPr>
      </w:pPr>
    </w:p>
    <w:p w:rsidR="00A133F9" w:rsidRPr="001F6CB4" w:rsidRDefault="00A133F9" w:rsidP="00A133F9">
      <w:pPr>
        <w:pStyle w:val="Paragrafoelenco"/>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Il termine “forma” di un professionista viene più precisamente utilizzato per capire se un professionista ha una profonda conoscenza di una disciplina (“I-shaped, a forma di I”), di due discipline (“H-shaped, a forma di H”)</w:t>
      </w:r>
      <w:r w:rsidRPr="001F6CB4">
        <w:rPr>
          <w:rStyle w:val="Rimandonotaapidipagina"/>
          <w:rFonts w:ascii="Times New Roman" w:hAnsi="Times New Roman" w:cs="Times New Roman"/>
          <w:sz w:val="26"/>
          <w:szCs w:val="26"/>
        </w:rPr>
        <w:footnoteReference w:id="14"/>
      </w:r>
      <w:r w:rsidRPr="001F6CB4">
        <w:rPr>
          <w:rFonts w:ascii="Times New Roman" w:hAnsi="Times New Roman" w:cs="Times New Roman"/>
          <w:sz w:val="26"/>
          <w:szCs w:val="26"/>
        </w:rPr>
        <w:t xml:space="preserve">, di un'unica disciplina ma con buone </w:t>
      </w:r>
      <w:r w:rsidRPr="001F6CB4">
        <w:rPr>
          <w:rFonts w:ascii="Times New Roman" w:hAnsi="Times New Roman" w:cs="Times New Roman"/>
          <w:sz w:val="26"/>
          <w:szCs w:val="26"/>
        </w:rPr>
        <w:lastRenderedPageBreak/>
        <w:t xml:space="preserve">conoscenze e capacità comunicative con professionisti di </w:t>
      </w:r>
      <w:r>
        <w:rPr>
          <w:rFonts w:ascii="Times New Roman" w:hAnsi="Times New Roman" w:cs="Times New Roman"/>
          <w:sz w:val="26"/>
          <w:szCs w:val="26"/>
        </w:rPr>
        <w:t xml:space="preserve">altre </w:t>
      </w:r>
      <w:r w:rsidRPr="001F6CB4">
        <w:rPr>
          <w:rFonts w:ascii="Times New Roman" w:hAnsi="Times New Roman" w:cs="Times New Roman"/>
          <w:sz w:val="26"/>
          <w:szCs w:val="26"/>
        </w:rPr>
        <w:t>aree disciplinari (“T-shaped, a forma di T”), oppure ha conoscenze meno specifiche ma ad ampio raggio, un generalista (“Dash-shaped”)</w:t>
      </w:r>
      <w:r w:rsidRPr="001F6CB4">
        <w:rPr>
          <w:rStyle w:val="Rimandonotaapidipagina"/>
          <w:rFonts w:ascii="Times New Roman" w:hAnsi="Times New Roman" w:cs="Times New Roman"/>
          <w:sz w:val="26"/>
          <w:szCs w:val="26"/>
        </w:rPr>
        <w:footnoteReference w:id="15"/>
      </w:r>
      <w:r w:rsidRPr="001F6CB4">
        <w:rPr>
          <w:rFonts w:ascii="Times New Roman" w:hAnsi="Times New Roman" w:cs="Times New Roman"/>
          <w:sz w:val="26"/>
          <w:szCs w:val="26"/>
        </w:rPr>
        <w:t xml:space="preserve">.  </w:t>
      </w:r>
    </w:p>
    <w:p w:rsidR="00A133F9" w:rsidRPr="001F6CB4" w:rsidRDefault="00A133F9" w:rsidP="00A133F9">
      <w:pPr>
        <w:pStyle w:val="Paragrafoelenco"/>
        <w:spacing w:before="40" w:after="40" w:line="360" w:lineRule="auto"/>
        <w:ind w:left="1134" w:right="1134"/>
        <w:jc w:val="both"/>
        <w:rPr>
          <w:rFonts w:ascii="Times New Roman" w:hAnsi="Times New Roman" w:cs="Times New Roman"/>
          <w:sz w:val="26"/>
          <w:szCs w:val="26"/>
        </w:rPr>
      </w:pPr>
    </w:p>
    <w:p w:rsidR="00A133F9" w:rsidRDefault="00A133F9" w:rsidP="00A133F9">
      <w:pPr>
        <w:pStyle w:val="Paragrafoelenco"/>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 xml:space="preserve">Nello specifico, gli </w:t>
      </w:r>
      <w:r w:rsidRPr="001F6CB4">
        <w:rPr>
          <w:rFonts w:ascii="Times New Roman" w:hAnsi="Times New Roman" w:cs="Times New Roman"/>
          <w:i/>
          <w:sz w:val="26"/>
          <w:szCs w:val="26"/>
        </w:rPr>
        <w:t>I-shaped</w:t>
      </w:r>
      <w:r w:rsidRPr="001F6CB4">
        <w:rPr>
          <w:rFonts w:ascii="Times New Roman" w:hAnsi="Times New Roman" w:cs="Times New Roman"/>
          <w:sz w:val="26"/>
          <w:szCs w:val="26"/>
        </w:rPr>
        <w:t xml:space="preserve"> (professionisti a forma di I) potrebbero essere dei perfetti innovatori “solitari”, ma non sarebbero altrettanto in grado di lavorare a progetti che richiedono collaborazione, a meno che non si trovino a lavorare in coppia con qualcuno che condivi</w:t>
      </w:r>
      <w:r w:rsidR="006E586A">
        <w:rPr>
          <w:rFonts w:ascii="Times New Roman" w:hAnsi="Times New Roman" w:cs="Times New Roman"/>
          <w:sz w:val="26"/>
          <w:szCs w:val="26"/>
        </w:rPr>
        <w:t>de la</w:t>
      </w:r>
      <w:r w:rsidRPr="001F6CB4">
        <w:rPr>
          <w:rFonts w:ascii="Times New Roman" w:hAnsi="Times New Roman" w:cs="Times New Roman"/>
          <w:sz w:val="26"/>
          <w:szCs w:val="26"/>
        </w:rPr>
        <w:t xml:space="preserve"> stessa specializzazione in una data disciplina. Di conseguenza, essi potrebbero avere grandi difficoltà in un contesto di innovazione collaborativa, a meno che non lavorino in team con soggetti di altre “forme” che condividono però la stessa area di specializzazione dell’</w:t>
      </w:r>
      <w:r w:rsidRPr="001F6CB4">
        <w:rPr>
          <w:rFonts w:ascii="Times New Roman" w:hAnsi="Times New Roman" w:cs="Times New Roman"/>
          <w:i/>
          <w:sz w:val="26"/>
          <w:szCs w:val="26"/>
        </w:rPr>
        <w:t>I-shaped</w:t>
      </w:r>
      <w:r w:rsidRPr="001F6CB4">
        <w:rPr>
          <w:rFonts w:ascii="Times New Roman" w:hAnsi="Times New Roman" w:cs="Times New Roman"/>
          <w:sz w:val="26"/>
          <w:szCs w:val="26"/>
        </w:rPr>
        <w:t xml:space="preserve">.  Gli altri del team sarebbero allora in grado di comunicare e beneficiare della profonda conoscenza dei professionisti </w:t>
      </w:r>
      <w:r w:rsidRPr="001F6CB4">
        <w:rPr>
          <w:rFonts w:ascii="Times New Roman" w:hAnsi="Times New Roman" w:cs="Times New Roman"/>
          <w:i/>
          <w:sz w:val="26"/>
          <w:szCs w:val="26"/>
        </w:rPr>
        <w:t>I-shaped</w:t>
      </w:r>
      <w:r w:rsidRPr="001F6CB4">
        <w:rPr>
          <w:rFonts w:ascii="Times New Roman" w:hAnsi="Times New Roman" w:cs="Times New Roman"/>
          <w:sz w:val="26"/>
          <w:szCs w:val="26"/>
        </w:rPr>
        <w:t xml:space="preserve"> nella risoluzione di nuovi problemi. </w:t>
      </w:r>
    </w:p>
    <w:p w:rsidR="00A133F9" w:rsidRDefault="00A133F9" w:rsidP="00A133F9">
      <w:pPr>
        <w:pStyle w:val="Paragrafoelenco"/>
        <w:spacing w:before="40" w:after="40" w:line="360" w:lineRule="auto"/>
        <w:ind w:left="1134" w:right="1134"/>
        <w:jc w:val="both"/>
        <w:rPr>
          <w:rFonts w:ascii="Times New Roman" w:hAnsi="Times New Roman" w:cs="Times New Roman"/>
          <w:sz w:val="26"/>
          <w:szCs w:val="26"/>
        </w:rPr>
      </w:pPr>
    </w:p>
    <w:p w:rsidR="00A133F9" w:rsidRDefault="00A133F9" w:rsidP="00A133F9">
      <w:pPr>
        <w:pStyle w:val="Paragrafoelenco"/>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 xml:space="preserve">I professionisti </w:t>
      </w:r>
      <w:r w:rsidRPr="001F6CB4">
        <w:rPr>
          <w:rFonts w:ascii="Times New Roman" w:hAnsi="Times New Roman" w:cs="Times New Roman"/>
          <w:i/>
          <w:sz w:val="26"/>
          <w:szCs w:val="26"/>
        </w:rPr>
        <w:t>Dash-shaped</w:t>
      </w:r>
      <w:r w:rsidRPr="001F6CB4">
        <w:rPr>
          <w:rFonts w:ascii="Times New Roman" w:hAnsi="Times New Roman" w:cs="Times New Roman"/>
          <w:sz w:val="26"/>
          <w:szCs w:val="26"/>
        </w:rPr>
        <w:t xml:space="preserve"> invece potrebbero essere molto bravi a collaborare, m</w:t>
      </w:r>
      <w:r>
        <w:rPr>
          <w:rFonts w:ascii="Times New Roman" w:hAnsi="Times New Roman" w:cs="Times New Roman"/>
          <w:sz w:val="26"/>
          <w:szCs w:val="26"/>
        </w:rPr>
        <w:t>a non altrettanto ad innovare</w:t>
      </w:r>
      <w:r w:rsidRPr="001F6CB4">
        <w:rPr>
          <w:rFonts w:ascii="Times New Roman" w:hAnsi="Times New Roman" w:cs="Times New Roman"/>
          <w:sz w:val="26"/>
          <w:szCs w:val="26"/>
        </w:rPr>
        <w:t xml:space="preserve">, poiché mancanti delle conoscenze profonde che potrebbero consentire loro di risolvere nuovi problemi. </w:t>
      </w:r>
    </w:p>
    <w:p w:rsidR="00A133F9" w:rsidRDefault="00A133F9" w:rsidP="00A133F9">
      <w:pPr>
        <w:pStyle w:val="Paragrafoelenco"/>
        <w:spacing w:before="40" w:after="40" w:line="360" w:lineRule="auto"/>
        <w:ind w:left="1134" w:right="1134"/>
        <w:jc w:val="both"/>
        <w:rPr>
          <w:rFonts w:ascii="Times New Roman" w:hAnsi="Times New Roman" w:cs="Times New Roman"/>
          <w:sz w:val="26"/>
          <w:szCs w:val="26"/>
        </w:rPr>
      </w:pPr>
    </w:p>
    <w:p w:rsidR="00A133F9" w:rsidRDefault="00A133F9" w:rsidP="00A133F9">
      <w:pPr>
        <w:pStyle w:val="Paragrafoelenco"/>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 xml:space="preserve">I professionisti </w:t>
      </w:r>
      <w:r w:rsidRPr="001F6CB4">
        <w:rPr>
          <w:rFonts w:ascii="Times New Roman" w:hAnsi="Times New Roman" w:cs="Times New Roman"/>
          <w:i/>
          <w:sz w:val="26"/>
          <w:szCs w:val="26"/>
        </w:rPr>
        <w:t>H-shaped</w:t>
      </w:r>
      <w:r w:rsidRPr="001F6CB4">
        <w:rPr>
          <w:rFonts w:ascii="Times New Roman" w:hAnsi="Times New Roman" w:cs="Times New Roman"/>
          <w:sz w:val="26"/>
          <w:szCs w:val="26"/>
        </w:rPr>
        <w:t xml:space="preserve"> potrebbero essere molto più bravi ad innovare e</w:t>
      </w:r>
      <w:r>
        <w:rPr>
          <w:rFonts w:ascii="Times New Roman" w:hAnsi="Times New Roman" w:cs="Times New Roman"/>
          <w:sz w:val="26"/>
          <w:szCs w:val="26"/>
        </w:rPr>
        <w:t xml:space="preserve"> collaborare</w:t>
      </w:r>
      <w:r w:rsidRPr="001F6CB4">
        <w:rPr>
          <w:rFonts w:ascii="Times New Roman" w:hAnsi="Times New Roman" w:cs="Times New Roman"/>
          <w:sz w:val="26"/>
          <w:szCs w:val="26"/>
        </w:rPr>
        <w:t xml:space="preserve"> dei professionisti </w:t>
      </w:r>
      <w:r w:rsidRPr="00E828D3">
        <w:rPr>
          <w:rFonts w:ascii="Times New Roman" w:hAnsi="Times New Roman" w:cs="Times New Roman"/>
          <w:i/>
          <w:sz w:val="26"/>
          <w:szCs w:val="26"/>
        </w:rPr>
        <w:t>I-shaped</w:t>
      </w:r>
      <w:r w:rsidRPr="001F6CB4">
        <w:rPr>
          <w:rFonts w:ascii="Times New Roman" w:hAnsi="Times New Roman" w:cs="Times New Roman"/>
          <w:sz w:val="26"/>
          <w:szCs w:val="26"/>
        </w:rPr>
        <w:t xml:space="preserve">. </w:t>
      </w:r>
      <w:r>
        <w:rPr>
          <w:rFonts w:ascii="Times New Roman" w:hAnsi="Times New Roman" w:cs="Times New Roman"/>
          <w:sz w:val="26"/>
          <w:szCs w:val="26"/>
        </w:rPr>
        <w:t xml:space="preserve">Naturalmente </w:t>
      </w:r>
      <w:r w:rsidRPr="001F6CB4">
        <w:rPr>
          <w:rFonts w:ascii="Times New Roman" w:hAnsi="Times New Roman" w:cs="Times New Roman"/>
          <w:sz w:val="26"/>
          <w:szCs w:val="26"/>
        </w:rPr>
        <w:t xml:space="preserve">è </w:t>
      </w:r>
      <w:r>
        <w:rPr>
          <w:rFonts w:ascii="Times New Roman" w:hAnsi="Times New Roman" w:cs="Times New Roman"/>
          <w:sz w:val="26"/>
          <w:szCs w:val="26"/>
        </w:rPr>
        <w:t>necessaria una</w:t>
      </w:r>
      <w:r w:rsidRPr="001F6CB4">
        <w:rPr>
          <w:rFonts w:ascii="Times New Roman" w:hAnsi="Times New Roman" w:cs="Times New Roman"/>
          <w:sz w:val="26"/>
          <w:szCs w:val="26"/>
        </w:rPr>
        <w:t xml:space="preserve"> grande quantità di tempo per specializzarsi in una disciplina, di conseguenza la profonda conoscenza di due discipline richiede in genere un notevole investimento di tempo. </w:t>
      </w:r>
    </w:p>
    <w:p w:rsidR="00A133F9" w:rsidRDefault="00A133F9" w:rsidP="00A133F9">
      <w:pPr>
        <w:pStyle w:val="Paragrafoelenco"/>
        <w:spacing w:before="40" w:after="40" w:line="360" w:lineRule="auto"/>
        <w:ind w:left="1134" w:right="1134"/>
        <w:jc w:val="both"/>
        <w:rPr>
          <w:rFonts w:ascii="Times New Roman" w:hAnsi="Times New Roman" w:cs="Times New Roman"/>
          <w:sz w:val="26"/>
          <w:szCs w:val="26"/>
        </w:rPr>
      </w:pPr>
    </w:p>
    <w:p w:rsidR="00A133F9" w:rsidRPr="001F6CB4" w:rsidRDefault="00A133F9" w:rsidP="00A133F9">
      <w:pPr>
        <w:pStyle w:val="Paragrafoelenco"/>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lastRenderedPageBreak/>
        <w:t xml:space="preserve">I professionisti </w:t>
      </w:r>
      <w:r w:rsidRPr="001F6CB4">
        <w:rPr>
          <w:rFonts w:ascii="Times New Roman" w:hAnsi="Times New Roman" w:cs="Times New Roman"/>
          <w:i/>
          <w:sz w:val="26"/>
          <w:szCs w:val="26"/>
        </w:rPr>
        <w:t>T-shaped</w:t>
      </w:r>
      <w:r w:rsidRPr="001F6CB4">
        <w:rPr>
          <w:rFonts w:ascii="Times New Roman" w:hAnsi="Times New Roman" w:cs="Times New Roman"/>
          <w:sz w:val="26"/>
          <w:szCs w:val="26"/>
        </w:rPr>
        <w:t xml:space="preserve"> infine potrebbero essere molto bravi a collaborare ed innovare, e allo stesso tempo essere </w:t>
      </w:r>
      <w:r>
        <w:rPr>
          <w:rFonts w:ascii="Times New Roman" w:hAnsi="Times New Roman" w:cs="Times New Roman"/>
          <w:sz w:val="26"/>
          <w:szCs w:val="26"/>
        </w:rPr>
        <w:t>altrettanto</w:t>
      </w:r>
      <w:r w:rsidRPr="001F6CB4">
        <w:rPr>
          <w:rFonts w:ascii="Times New Roman" w:hAnsi="Times New Roman" w:cs="Times New Roman"/>
          <w:sz w:val="26"/>
          <w:szCs w:val="26"/>
        </w:rPr>
        <w:t xml:space="preserve"> bravi a risolvere nuovi problemi nella propria area di competenza.  Come per gli H-shaped, però, è necessario molto tempo per acquisire complesse abilità comunicative tali da districarsi fra varie discipline. </w:t>
      </w:r>
    </w:p>
    <w:p w:rsidR="00A133F9" w:rsidRPr="001F6CB4" w:rsidRDefault="00A133F9" w:rsidP="00A133F9">
      <w:pPr>
        <w:pStyle w:val="Paragrafoelenco"/>
        <w:spacing w:before="40" w:after="40" w:line="360" w:lineRule="auto"/>
        <w:ind w:left="1134" w:right="1134"/>
        <w:jc w:val="both"/>
        <w:rPr>
          <w:rFonts w:ascii="Times New Roman" w:hAnsi="Times New Roman" w:cs="Times New Roman"/>
          <w:sz w:val="26"/>
          <w:szCs w:val="26"/>
        </w:rPr>
      </w:pPr>
    </w:p>
    <w:p w:rsidR="00A133F9" w:rsidRDefault="00A133F9" w:rsidP="00A133F9">
      <w:pPr>
        <w:pStyle w:val="Paragrafoelenco"/>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 xml:space="preserve">In sintesi i professionisti </w:t>
      </w:r>
      <w:r w:rsidRPr="001F6CB4">
        <w:rPr>
          <w:rFonts w:ascii="Times New Roman" w:hAnsi="Times New Roman" w:cs="Times New Roman"/>
          <w:i/>
          <w:sz w:val="26"/>
          <w:szCs w:val="26"/>
        </w:rPr>
        <w:t>H-shaped</w:t>
      </w:r>
      <w:r w:rsidRPr="001F6CB4">
        <w:rPr>
          <w:rFonts w:ascii="Times New Roman" w:hAnsi="Times New Roman" w:cs="Times New Roman"/>
          <w:sz w:val="26"/>
          <w:szCs w:val="26"/>
        </w:rPr>
        <w:t xml:space="preserve"> e </w:t>
      </w:r>
      <w:r w:rsidRPr="001F6CB4">
        <w:rPr>
          <w:rFonts w:ascii="Times New Roman" w:hAnsi="Times New Roman" w:cs="Times New Roman"/>
          <w:i/>
          <w:sz w:val="26"/>
          <w:szCs w:val="26"/>
        </w:rPr>
        <w:t>T-shaped</w:t>
      </w:r>
      <w:r w:rsidRPr="001F6CB4">
        <w:rPr>
          <w:rFonts w:ascii="Times New Roman" w:hAnsi="Times New Roman" w:cs="Times New Roman"/>
          <w:sz w:val="26"/>
          <w:szCs w:val="26"/>
        </w:rPr>
        <w:t xml:space="preserve"> possono impiegare il doppio del tempo per formarsi rispetto tanto ai professionisti </w:t>
      </w:r>
      <w:r w:rsidRPr="001F6CB4">
        <w:rPr>
          <w:rFonts w:ascii="Times New Roman" w:hAnsi="Times New Roman" w:cs="Times New Roman"/>
          <w:i/>
          <w:sz w:val="26"/>
          <w:szCs w:val="26"/>
        </w:rPr>
        <w:t>I-shaped</w:t>
      </w:r>
      <w:r w:rsidRPr="001F6CB4">
        <w:rPr>
          <w:rFonts w:ascii="Times New Roman" w:hAnsi="Times New Roman" w:cs="Times New Roman"/>
          <w:sz w:val="26"/>
          <w:szCs w:val="26"/>
        </w:rPr>
        <w:t xml:space="preserve"> quanto ai professionisti </w:t>
      </w:r>
      <w:r w:rsidRPr="001F6CB4">
        <w:rPr>
          <w:rFonts w:ascii="Times New Roman" w:hAnsi="Times New Roman" w:cs="Times New Roman"/>
          <w:i/>
          <w:sz w:val="26"/>
          <w:szCs w:val="26"/>
        </w:rPr>
        <w:t>Dash-shaped</w:t>
      </w:r>
      <w:r w:rsidRPr="001F6CB4">
        <w:rPr>
          <w:rFonts w:ascii="Times New Roman" w:hAnsi="Times New Roman" w:cs="Times New Roman"/>
          <w:sz w:val="26"/>
          <w:szCs w:val="26"/>
        </w:rPr>
        <w:t xml:space="preserve">, ma in generale ci si aspetta che professionisti </w:t>
      </w:r>
      <w:r w:rsidRPr="001F6CB4">
        <w:rPr>
          <w:rFonts w:ascii="Times New Roman" w:hAnsi="Times New Roman" w:cs="Times New Roman"/>
          <w:i/>
          <w:sz w:val="26"/>
          <w:szCs w:val="26"/>
        </w:rPr>
        <w:t>H-shaped</w:t>
      </w:r>
      <w:r w:rsidRPr="001F6CB4">
        <w:rPr>
          <w:rFonts w:ascii="Times New Roman" w:hAnsi="Times New Roman" w:cs="Times New Roman"/>
          <w:sz w:val="26"/>
          <w:szCs w:val="26"/>
        </w:rPr>
        <w:t xml:space="preserve"> e </w:t>
      </w:r>
      <w:r w:rsidRPr="001F6CB4">
        <w:rPr>
          <w:rFonts w:ascii="Times New Roman" w:hAnsi="Times New Roman" w:cs="Times New Roman"/>
          <w:i/>
          <w:sz w:val="26"/>
          <w:szCs w:val="26"/>
        </w:rPr>
        <w:t>T-shaped</w:t>
      </w:r>
      <w:r w:rsidRPr="001F6CB4">
        <w:rPr>
          <w:rFonts w:ascii="Times New Roman" w:hAnsi="Times New Roman" w:cs="Times New Roman"/>
          <w:sz w:val="26"/>
          <w:szCs w:val="26"/>
        </w:rPr>
        <w:t xml:space="preserve"> siano molto più bravi ad innovare e collaborare, o a divenire innovatori collaborativi</w:t>
      </w:r>
      <w:r w:rsidRPr="001F6CB4">
        <w:rPr>
          <w:rStyle w:val="Rimandonotaapidipagina"/>
          <w:rFonts w:ascii="Times New Roman" w:hAnsi="Times New Roman" w:cs="Times New Roman"/>
          <w:sz w:val="26"/>
          <w:szCs w:val="26"/>
        </w:rPr>
        <w:footnoteReference w:id="16"/>
      </w:r>
      <w:r w:rsidRPr="001F6CB4">
        <w:rPr>
          <w:rFonts w:ascii="Times New Roman" w:hAnsi="Times New Roman" w:cs="Times New Roman"/>
          <w:sz w:val="26"/>
          <w:szCs w:val="26"/>
        </w:rPr>
        <w:t xml:space="preserve">. </w:t>
      </w:r>
    </w:p>
    <w:p w:rsidR="00027047" w:rsidRPr="00027047" w:rsidRDefault="00027047" w:rsidP="00027047">
      <w:pPr>
        <w:spacing w:before="40" w:after="40" w:line="360" w:lineRule="auto"/>
        <w:ind w:right="1134"/>
        <w:jc w:val="both"/>
        <w:rPr>
          <w:rFonts w:ascii="Times New Roman" w:hAnsi="Times New Roman" w:cs="Times New Roman"/>
          <w:sz w:val="26"/>
          <w:szCs w:val="26"/>
        </w:rPr>
      </w:pPr>
    </w:p>
    <w:p w:rsidR="00A133F9" w:rsidRDefault="00A133F9" w:rsidP="00A133F9">
      <w:pPr>
        <w:pStyle w:val="Paragrafoelenco"/>
        <w:spacing w:before="40" w:after="40" w:line="360" w:lineRule="auto"/>
        <w:ind w:left="1134" w:right="1134"/>
        <w:jc w:val="both"/>
        <w:rPr>
          <w:rFonts w:ascii="Times New Roman" w:hAnsi="Times New Roman" w:cs="Times New Roman"/>
          <w:sz w:val="26"/>
          <w:szCs w:val="26"/>
        </w:rPr>
      </w:pPr>
    </w:p>
    <w:p w:rsidR="00A133F9" w:rsidRPr="001F6CB4" w:rsidRDefault="00FF4B00" w:rsidP="00A133F9">
      <w:pPr>
        <w:pStyle w:val="Paragrafoelenco"/>
        <w:spacing w:before="40" w:after="40" w:line="360" w:lineRule="auto"/>
        <w:ind w:left="1134" w:right="1134"/>
        <w:jc w:val="both"/>
        <w:rPr>
          <w:rFonts w:ascii="Times New Roman" w:hAnsi="Times New Roman" w:cs="Times New Roman"/>
          <w:sz w:val="26"/>
          <w:szCs w:val="26"/>
        </w:rPr>
      </w:pPr>
      <w:r>
        <w:rPr>
          <w:rFonts w:ascii="Times New Roman" w:hAnsi="Times New Roman" w:cs="Times New Roman"/>
          <w:sz w:val="26"/>
          <w:szCs w:val="26"/>
        </w:rPr>
        <w:t>1.2.1</w:t>
      </w:r>
      <w:r w:rsidR="00A133F9">
        <w:rPr>
          <w:rFonts w:ascii="Times New Roman" w:hAnsi="Times New Roman" w:cs="Times New Roman"/>
          <w:sz w:val="26"/>
          <w:szCs w:val="26"/>
        </w:rPr>
        <w:t xml:space="preserve"> </w:t>
      </w:r>
      <w:r>
        <w:rPr>
          <w:rFonts w:ascii="Times New Roman" w:hAnsi="Times New Roman" w:cs="Times New Roman"/>
          <w:sz w:val="26"/>
          <w:szCs w:val="26"/>
        </w:rPr>
        <w:t>Studi e ricerche in materia</w:t>
      </w:r>
    </w:p>
    <w:p w:rsidR="00A133F9" w:rsidRPr="001F6CB4" w:rsidRDefault="00A133F9" w:rsidP="00A133F9">
      <w:pPr>
        <w:pStyle w:val="Paragrafoelenco"/>
        <w:spacing w:before="40" w:after="40" w:line="360" w:lineRule="auto"/>
        <w:ind w:left="1134" w:right="1134"/>
        <w:jc w:val="both"/>
        <w:rPr>
          <w:rFonts w:ascii="Times New Roman" w:hAnsi="Times New Roman" w:cs="Times New Roman"/>
          <w:sz w:val="26"/>
          <w:szCs w:val="26"/>
        </w:rPr>
      </w:pPr>
    </w:p>
    <w:p w:rsidR="00A133F9" w:rsidRPr="001F6CB4" w:rsidRDefault="00A133F9" w:rsidP="00A133F9">
      <w:pPr>
        <w:pStyle w:val="Paragrafoelenco"/>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Nei primi anni del XXI secolo uno studio</w:t>
      </w:r>
      <w:r w:rsidRPr="001F6CB4">
        <w:rPr>
          <w:rStyle w:val="Rimandonotaapidipagina"/>
          <w:rFonts w:ascii="Times New Roman" w:hAnsi="Times New Roman" w:cs="Times New Roman"/>
          <w:sz w:val="26"/>
          <w:szCs w:val="26"/>
        </w:rPr>
        <w:footnoteReference w:id="17"/>
      </w:r>
      <w:r w:rsidRPr="001F6CB4">
        <w:rPr>
          <w:rFonts w:ascii="Times New Roman" w:hAnsi="Times New Roman" w:cs="Times New Roman"/>
          <w:sz w:val="26"/>
          <w:szCs w:val="26"/>
        </w:rPr>
        <w:t xml:space="preserve"> ha compiuto un’audace analisi di trent'anni di descrizioni degli impieghi ricercati</w:t>
      </w:r>
      <w:r>
        <w:rPr>
          <w:rFonts w:ascii="Times New Roman" w:hAnsi="Times New Roman" w:cs="Times New Roman"/>
          <w:sz w:val="26"/>
          <w:szCs w:val="26"/>
        </w:rPr>
        <w:t>,</w:t>
      </w:r>
      <w:r w:rsidRPr="001F6CB4">
        <w:rPr>
          <w:rFonts w:ascii="Times New Roman" w:hAnsi="Times New Roman" w:cs="Times New Roman"/>
          <w:sz w:val="26"/>
          <w:szCs w:val="26"/>
        </w:rPr>
        <w:t xml:space="preserve"> utilizzate dal US Department of Labor, evidenziando una forte coincidenza fra alcune competenze ricercate allora ma presenti tutt’oggi nelle descrizioni delle nuove figure professionali. Esse mostrano una chiara tendenza verso i requisiti come: modo di pensare pratico (problem solving) e grande capacità comunicativa (capacità di collaborazione). Queste scoperte sono</w:t>
      </w:r>
      <w:r w:rsidR="00027047">
        <w:rPr>
          <w:rFonts w:ascii="Times New Roman" w:hAnsi="Times New Roman" w:cs="Times New Roman"/>
          <w:sz w:val="26"/>
          <w:szCs w:val="26"/>
        </w:rPr>
        <w:t xml:space="preserve"> coerenti con la crescita di un’</w:t>
      </w:r>
      <w:r w:rsidRPr="001F6CB4">
        <w:rPr>
          <w:rFonts w:ascii="Times New Roman" w:hAnsi="Times New Roman" w:cs="Times New Roman"/>
          <w:sz w:val="26"/>
          <w:szCs w:val="26"/>
        </w:rPr>
        <w:t>economia dei servizi ad alta intensità di conoscenza. Una maggiore specializzazione (pensiero esperto) e una maggiore integrazione (comunicazione complessa) sono coerenti con l'innovazione collaborativa che diventa una priorità crescente delle organizzazioni, che si riflette poi nelle descrizioni dei profili occupazionali ricercati.</w:t>
      </w:r>
    </w:p>
    <w:p w:rsidR="00A133F9" w:rsidRPr="001F6CB4" w:rsidRDefault="00A133F9" w:rsidP="00A133F9">
      <w:pPr>
        <w:pStyle w:val="Paragrafoelenco"/>
        <w:spacing w:before="40" w:after="40" w:line="360" w:lineRule="auto"/>
        <w:ind w:left="1134" w:right="1134"/>
        <w:jc w:val="both"/>
        <w:rPr>
          <w:rFonts w:ascii="Times New Roman" w:hAnsi="Times New Roman" w:cs="Times New Roman"/>
          <w:sz w:val="26"/>
          <w:szCs w:val="26"/>
        </w:rPr>
      </w:pPr>
    </w:p>
    <w:p w:rsidR="00A133F9" w:rsidRPr="001F6CB4" w:rsidRDefault="00A133F9" w:rsidP="00A133F9">
      <w:pPr>
        <w:pStyle w:val="Paragrafoelenco"/>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lastRenderedPageBreak/>
        <w:t>I ricercatori della teoria computazionale dell'organizzazione</w:t>
      </w:r>
      <w:r w:rsidRPr="001F6CB4">
        <w:rPr>
          <w:rStyle w:val="Rimandonotaapidipagina"/>
          <w:rFonts w:ascii="Times New Roman" w:hAnsi="Times New Roman" w:cs="Times New Roman"/>
          <w:sz w:val="26"/>
          <w:szCs w:val="26"/>
        </w:rPr>
        <w:footnoteReference w:id="18"/>
      </w:r>
      <w:r w:rsidRPr="001F6CB4">
        <w:rPr>
          <w:rFonts w:ascii="Times New Roman" w:hAnsi="Times New Roman" w:cs="Times New Roman"/>
          <w:sz w:val="26"/>
          <w:szCs w:val="26"/>
        </w:rPr>
        <w:t xml:space="preserve"> </w:t>
      </w:r>
      <w:r>
        <w:rPr>
          <w:rFonts w:ascii="Times New Roman" w:hAnsi="Times New Roman" w:cs="Times New Roman"/>
          <w:sz w:val="26"/>
          <w:szCs w:val="26"/>
        </w:rPr>
        <w:t xml:space="preserve">invece </w:t>
      </w:r>
      <w:r w:rsidRPr="001F6CB4">
        <w:rPr>
          <w:rFonts w:ascii="Times New Roman" w:hAnsi="Times New Roman" w:cs="Times New Roman"/>
          <w:sz w:val="26"/>
          <w:szCs w:val="26"/>
        </w:rPr>
        <w:t xml:space="preserve">hanno utilizzato tecniche di simulazione per esplorare la capacità produttiva delle organizzazioni in cui la proporzione fra specialisti (professionisti </w:t>
      </w:r>
      <w:r w:rsidRPr="001F6CB4">
        <w:rPr>
          <w:rFonts w:ascii="Times New Roman" w:hAnsi="Times New Roman" w:cs="Times New Roman"/>
          <w:i/>
          <w:sz w:val="26"/>
          <w:szCs w:val="26"/>
        </w:rPr>
        <w:t>I-shaped</w:t>
      </w:r>
      <w:r w:rsidRPr="001F6CB4">
        <w:rPr>
          <w:rFonts w:ascii="Times New Roman" w:hAnsi="Times New Roman" w:cs="Times New Roman"/>
          <w:sz w:val="26"/>
          <w:szCs w:val="26"/>
        </w:rPr>
        <w:t xml:space="preserve">) e generalisti (professionisti </w:t>
      </w:r>
      <w:r w:rsidRPr="001F6CB4">
        <w:rPr>
          <w:rFonts w:ascii="Times New Roman" w:hAnsi="Times New Roman" w:cs="Times New Roman"/>
          <w:i/>
          <w:sz w:val="26"/>
          <w:szCs w:val="26"/>
        </w:rPr>
        <w:t>Dash-shaped</w:t>
      </w:r>
      <w:r w:rsidRPr="001F6CB4">
        <w:rPr>
          <w:rFonts w:ascii="Times New Roman" w:hAnsi="Times New Roman" w:cs="Times New Roman"/>
          <w:sz w:val="26"/>
          <w:szCs w:val="26"/>
        </w:rPr>
        <w:t>) era variabile. Questi studi hanno evidenziato che in periodi con basso tasso di cambiamento ambientale (domanda stabile), le organizzazioni composte da soli specialisti sono in grado di massimizzare la produzione. Tuttavia, in periodi di rapidi cambiamenti ambientali (domanda variabile), le organizzazioni con un numero più alto di generalisti hanno prestazioni migliori di altre organizzazioni. Ancora una volta, questi esperimenti sostengono l'idea che in un mondo dove l'innovazione collaborativa è una priorità crescente, le organizzazioni saranno in concorrenza fra loro su chi sarà più in gra</w:t>
      </w:r>
      <w:r>
        <w:rPr>
          <w:rFonts w:ascii="Times New Roman" w:hAnsi="Times New Roman" w:cs="Times New Roman"/>
          <w:sz w:val="26"/>
          <w:szCs w:val="26"/>
        </w:rPr>
        <w:t xml:space="preserve">do di far corrispondere ai </w:t>
      </w:r>
      <w:r w:rsidRPr="001F6CB4">
        <w:rPr>
          <w:rFonts w:ascii="Times New Roman" w:hAnsi="Times New Roman" w:cs="Times New Roman"/>
          <w:sz w:val="26"/>
          <w:szCs w:val="26"/>
        </w:rPr>
        <w:t xml:space="preserve">professionisti </w:t>
      </w:r>
      <w:r w:rsidRPr="001F6CB4">
        <w:rPr>
          <w:rFonts w:ascii="Times New Roman" w:hAnsi="Times New Roman" w:cs="Times New Roman"/>
          <w:i/>
          <w:sz w:val="26"/>
          <w:szCs w:val="26"/>
        </w:rPr>
        <w:t>I-shaped</w:t>
      </w:r>
      <w:r w:rsidRPr="001F6CB4">
        <w:rPr>
          <w:rFonts w:ascii="Times New Roman" w:hAnsi="Times New Roman" w:cs="Times New Roman"/>
          <w:sz w:val="26"/>
          <w:szCs w:val="26"/>
        </w:rPr>
        <w:t xml:space="preserve">, un numero sempre crescente di </w:t>
      </w:r>
      <w:r w:rsidRPr="001F6CB4">
        <w:rPr>
          <w:rFonts w:ascii="Times New Roman" w:hAnsi="Times New Roman" w:cs="Times New Roman"/>
          <w:i/>
          <w:sz w:val="26"/>
          <w:szCs w:val="26"/>
        </w:rPr>
        <w:t>H-shaped</w:t>
      </w:r>
      <w:r w:rsidRPr="001F6CB4">
        <w:rPr>
          <w:rFonts w:ascii="Times New Roman" w:hAnsi="Times New Roman" w:cs="Times New Roman"/>
          <w:sz w:val="26"/>
          <w:szCs w:val="26"/>
        </w:rPr>
        <w:t xml:space="preserve">, </w:t>
      </w:r>
      <w:r w:rsidRPr="001F6CB4">
        <w:rPr>
          <w:rFonts w:ascii="Times New Roman" w:hAnsi="Times New Roman" w:cs="Times New Roman"/>
          <w:i/>
          <w:sz w:val="26"/>
          <w:szCs w:val="26"/>
        </w:rPr>
        <w:t>T-shaped</w:t>
      </w:r>
      <w:r w:rsidRPr="001F6CB4">
        <w:rPr>
          <w:rFonts w:ascii="Times New Roman" w:hAnsi="Times New Roman" w:cs="Times New Roman"/>
          <w:sz w:val="26"/>
          <w:szCs w:val="26"/>
        </w:rPr>
        <w:t xml:space="preserve"> e </w:t>
      </w:r>
      <w:r w:rsidRPr="001F6CB4">
        <w:rPr>
          <w:rFonts w:ascii="Times New Roman" w:hAnsi="Times New Roman" w:cs="Times New Roman"/>
          <w:i/>
          <w:sz w:val="26"/>
          <w:szCs w:val="26"/>
        </w:rPr>
        <w:t>Dash-shaped</w:t>
      </w:r>
      <w:r w:rsidRPr="001F6CB4">
        <w:rPr>
          <w:rFonts w:ascii="Times New Roman" w:hAnsi="Times New Roman" w:cs="Times New Roman"/>
          <w:sz w:val="26"/>
          <w:szCs w:val="26"/>
        </w:rPr>
        <w:t xml:space="preserve"> al crescere dei cambiamenti ambientali.</w:t>
      </w:r>
    </w:p>
    <w:p w:rsidR="00A133F9" w:rsidRPr="001F6CB4" w:rsidRDefault="00A133F9" w:rsidP="00A133F9">
      <w:pPr>
        <w:pStyle w:val="Paragrafoelenco"/>
        <w:spacing w:before="40" w:after="40" w:line="360" w:lineRule="auto"/>
        <w:ind w:left="1134" w:right="1134"/>
        <w:jc w:val="both"/>
        <w:rPr>
          <w:rFonts w:ascii="Times New Roman" w:hAnsi="Times New Roman" w:cs="Times New Roman"/>
          <w:sz w:val="26"/>
          <w:szCs w:val="26"/>
        </w:rPr>
      </w:pPr>
    </w:p>
    <w:p w:rsidR="00A133F9" w:rsidRDefault="00A133F9" w:rsidP="00A133F9">
      <w:pPr>
        <w:pStyle w:val="Paragrafoelenco"/>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 xml:space="preserve">Le risorse cognitive </w:t>
      </w:r>
      <w:r w:rsidRPr="001F6CB4">
        <w:rPr>
          <w:rFonts w:ascii="Times New Roman" w:hAnsi="Times New Roman" w:cs="Times New Roman"/>
          <w:i/>
          <w:sz w:val="26"/>
          <w:szCs w:val="26"/>
        </w:rPr>
        <w:t>T-shaped</w:t>
      </w:r>
      <w:r w:rsidRPr="001F6CB4">
        <w:rPr>
          <w:rFonts w:ascii="Times New Roman" w:hAnsi="Times New Roman" w:cs="Times New Roman"/>
          <w:sz w:val="26"/>
          <w:szCs w:val="26"/>
        </w:rPr>
        <w:t xml:space="preserve"> hanno almeno due vantaggi rispetto a quelle </w:t>
      </w:r>
      <w:r w:rsidRPr="001F6CB4">
        <w:rPr>
          <w:rFonts w:ascii="Times New Roman" w:hAnsi="Times New Roman" w:cs="Times New Roman"/>
          <w:i/>
          <w:sz w:val="26"/>
          <w:szCs w:val="26"/>
        </w:rPr>
        <w:t>I-shaped</w:t>
      </w:r>
      <w:r w:rsidRPr="001F6CB4">
        <w:rPr>
          <w:rFonts w:ascii="Times New Roman" w:hAnsi="Times New Roman" w:cs="Times New Roman"/>
          <w:sz w:val="26"/>
          <w:szCs w:val="26"/>
        </w:rPr>
        <w:t>, ed un grosso svantaggio. I vantaggi sono: i costi di comunicazione e collaborazione più bassi, e gli inferiori costi di apprendimento ed adattamento. Il grande svantaggio è che costa due volte di più in termini di creazione, cosicché solo se la natura dell’ambiente circostante richiede più comunicazione, collaborazione, apprendimento ed adattamento potrà essere recuperato il costo dell'investimento iniziale</w:t>
      </w:r>
      <w:r w:rsidRPr="001F6CB4">
        <w:rPr>
          <w:rStyle w:val="Rimandonotaapidipagina"/>
          <w:rFonts w:ascii="Times New Roman" w:hAnsi="Times New Roman" w:cs="Times New Roman"/>
          <w:sz w:val="26"/>
          <w:szCs w:val="26"/>
        </w:rPr>
        <w:footnoteReference w:id="19"/>
      </w:r>
      <w:r w:rsidRPr="001F6CB4">
        <w:rPr>
          <w:rFonts w:ascii="Times New Roman" w:hAnsi="Times New Roman" w:cs="Times New Roman"/>
          <w:sz w:val="26"/>
          <w:szCs w:val="26"/>
        </w:rPr>
        <w:t>.</w:t>
      </w:r>
    </w:p>
    <w:p w:rsidR="00027047" w:rsidRPr="0000763C" w:rsidRDefault="00027047" w:rsidP="00A133F9">
      <w:pPr>
        <w:pStyle w:val="Paragrafoelenco"/>
        <w:spacing w:before="40" w:after="40" w:line="360" w:lineRule="auto"/>
        <w:ind w:left="1134" w:right="1134"/>
        <w:jc w:val="both"/>
        <w:rPr>
          <w:rFonts w:ascii="Times New Roman" w:hAnsi="Times New Roman" w:cs="Times New Roman"/>
          <w:sz w:val="26"/>
          <w:szCs w:val="26"/>
        </w:rPr>
      </w:pPr>
    </w:p>
    <w:p w:rsidR="002F5923"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 xml:space="preserve">La conoscenza è quindi un importante strumento per mantenere il vantaggio competitivo, motivo per cui molte aziende stanno cominciando a gestire la conoscenza organizzativa. </w:t>
      </w:r>
    </w:p>
    <w:p w:rsidR="002F5923" w:rsidRDefault="002F5923" w:rsidP="00A133F9">
      <w:pPr>
        <w:spacing w:before="40" w:after="40" w:line="360" w:lineRule="auto"/>
        <w:ind w:left="1134" w:right="1134"/>
        <w:jc w:val="both"/>
        <w:rPr>
          <w:rFonts w:ascii="Times New Roman" w:hAnsi="Times New Roman" w:cs="Times New Roman"/>
          <w:sz w:val="26"/>
          <w:szCs w:val="26"/>
        </w:rPr>
      </w:pP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Nel 2003 sono stati studiati i fattori di gestione della conoscenza quali facilitatori</w:t>
      </w:r>
      <w:r>
        <w:rPr>
          <w:rFonts w:ascii="Times New Roman" w:hAnsi="Times New Roman" w:cs="Times New Roman"/>
          <w:sz w:val="26"/>
          <w:szCs w:val="26"/>
        </w:rPr>
        <w:t xml:space="preserve"> (abilitanti)</w:t>
      </w:r>
      <w:r w:rsidRPr="001F6CB4">
        <w:rPr>
          <w:rFonts w:ascii="Times New Roman" w:hAnsi="Times New Roman" w:cs="Times New Roman"/>
          <w:sz w:val="26"/>
          <w:szCs w:val="26"/>
        </w:rPr>
        <w:t>, ciò ha consentito di sviluppare un modello di ricerca che interconnette i fattori di gestione della conoscenza. Il modello comprende sette fattori abilitanti: collaborazione, fiducia, apprendimento, centralizzazione, formalizzazione. Le competenze a forma di T ed il supporto della tecnologia dell'informazione. L'accento è posto sui processi di creazione della conoscenza, come la socializzazione, l’esternalizzazione, la combinazione e l’internalizzazione. Per stabilire la differenza tra la creazione di conoscenza e le performance, la creatività organizzativa è incorporata nel modello. Questionari raccolti su 58 imprese sono stati analizzati per testare il modello. I risultati hanno confermato l’impatto della fiducia nella creazione di conoscenza. Il supporto delle tecnologie dell'informazione ha avuto un impatto positivo non solo sulla combinazione delle conoscenze. La creatività organizzativa è risultata essere fondamentale per migliorare le prestazioni: trascurare le idee può danneggiare un business. I risultati di tale studio possono essere utilizzati come un trampolino di lancio per ulteriori ricerche empiriche e possono aiutare a formulare robuste strategie che comportano uno scambio tra fattori abilitanti di gestione della conoscenza</w:t>
      </w:r>
      <w:r w:rsidRPr="001F6CB4">
        <w:rPr>
          <w:rStyle w:val="Rimandonotaapidipagina"/>
          <w:rFonts w:ascii="Times New Roman" w:hAnsi="Times New Roman" w:cs="Times New Roman"/>
          <w:sz w:val="26"/>
          <w:szCs w:val="26"/>
        </w:rPr>
        <w:footnoteReference w:id="20"/>
      </w:r>
      <w:r w:rsidRPr="001F6CB4">
        <w:rPr>
          <w:rFonts w:ascii="Times New Roman" w:hAnsi="Times New Roman" w:cs="Times New Roman"/>
          <w:sz w:val="26"/>
          <w:szCs w:val="26"/>
        </w:rPr>
        <w:t>.</w:t>
      </w:r>
    </w:p>
    <w:p w:rsidR="00A133F9" w:rsidRPr="001F6CB4" w:rsidRDefault="00A133F9" w:rsidP="00A133F9">
      <w:pPr>
        <w:spacing w:before="40" w:after="40" w:line="360" w:lineRule="auto"/>
        <w:ind w:right="1134"/>
        <w:jc w:val="both"/>
        <w:rPr>
          <w:rFonts w:ascii="Times New Roman" w:hAnsi="Times New Roman" w:cs="Times New Roman"/>
          <w:sz w:val="26"/>
          <w:szCs w:val="26"/>
        </w:rPr>
      </w:pP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 xml:space="preserve">Anche lo studio in questione analizza le competenze a forma di T, definendole sia profonde (la parte verticale del T) e sia larghe (la parte orizzontale della T); vale a dire che le persone con competenze a forma di T, non solo hanno una profonda conoscenza di una disciplina (come la tecnologia della ceramica), ma sanno anche come la loro disciplina interagisce con le altre (come ad esempio la lavorazione dei polimeri). Le persone con competenze a forma di T sono </w:t>
      </w:r>
      <w:r w:rsidRPr="001F6CB4">
        <w:rPr>
          <w:rFonts w:ascii="Times New Roman" w:hAnsi="Times New Roman" w:cs="Times New Roman"/>
          <w:sz w:val="26"/>
          <w:szCs w:val="26"/>
        </w:rPr>
        <w:lastRenderedPageBreak/>
        <w:t>estremamente utili per la creazione di conoscenza perché sono in grado di integrare le diverse risorse della conoscenza</w:t>
      </w:r>
      <w:r w:rsidRPr="001F6CB4">
        <w:rPr>
          <w:rStyle w:val="Rimandonotaapidipagina"/>
          <w:rFonts w:ascii="Times New Roman" w:hAnsi="Times New Roman" w:cs="Times New Roman"/>
          <w:sz w:val="26"/>
          <w:szCs w:val="26"/>
        </w:rPr>
        <w:footnoteReference w:id="21"/>
      </w:r>
      <w:r w:rsidRPr="001F6CB4">
        <w:rPr>
          <w:rFonts w:ascii="Times New Roman" w:hAnsi="Times New Roman" w:cs="Times New Roman"/>
          <w:sz w:val="26"/>
          <w:szCs w:val="26"/>
        </w:rPr>
        <w:t>. Esse hanno la capacità di coniugare conoscenze teoriche e pratiche, per capire come il loro ramo del sapere interagisce con altri. Pertanto essi possono muoversi tra molte aree funzionali e quindi creare nuova conoscenza</w:t>
      </w:r>
      <w:r w:rsidRPr="001F6CB4">
        <w:rPr>
          <w:rStyle w:val="Rimandonotaapidipagina"/>
          <w:rFonts w:ascii="Times New Roman" w:hAnsi="Times New Roman" w:cs="Times New Roman"/>
          <w:sz w:val="26"/>
          <w:szCs w:val="26"/>
        </w:rPr>
        <w:footnoteReference w:id="22"/>
      </w:r>
      <w:r w:rsidRPr="001F6CB4">
        <w:rPr>
          <w:rFonts w:ascii="Times New Roman" w:hAnsi="Times New Roman" w:cs="Times New Roman"/>
          <w:sz w:val="26"/>
          <w:szCs w:val="26"/>
        </w:rPr>
        <w:t>.</w:t>
      </w: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Esiste una relazione positiva nell’assetto organizzativo fra i membri con competenze a forma di T e il processo di creazione della conoscenza.</w:t>
      </w: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Nonostante molti studi</w:t>
      </w:r>
      <w:r w:rsidRPr="001F6CB4">
        <w:rPr>
          <w:rStyle w:val="Rimandonotaapidipagina"/>
          <w:rFonts w:ascii="Times New Roman" w:hAnsi="Times New Roman" w:cs="Times New Roman"/>
          <w:sz w:val="26"/>
          <w:szCs w:val="26"/>
        </w:rPr>
        <w:footnoteReference w:id="23"/>
      </w:r>
      <w:r w:rsidRPr="001F6CB4">
        <w:rPr>
          <w:rFonts w:ascii="Times New Roman" w:hAnsi="Times New Roman" w:cs="Times New Roman"/>
          <w:sz w:val="26"/>
          <w:szCs w:val="26"/>
        </w:rPr>
        <w:t xml:space="preserve"> abbiano suggerito che le c</w:t>
      </w:r>
      <w:r w:rsidR="00AB31F8">
        <w:rPr>
          <w:rFonts w:ascii="Times New Roman" w:hAnsi="Times New Roman" w:cs="Times New Roman"/>
          <w:sz w:val="26"/>
          <w:szCs w:val="26"/>
        </w:rPr>
        <w:t>ompetenze a forma di T influenzin</w:t>
      </w:r>
      <w:r w:rsidRPr="001F6CB4">
        <w:rPr>
          <w:rFonts w:ascii="Times New Roman" w:hAnsi="Times New Roman" w:cs="Times New Roman"/>
          <w:sz w:val="26"/>
          <w:szCs w:val="26"/>
        </w:rPr>
        <w:t xml:space="preserve">o positivamente la creazione di conoscenza, lo studio in questione non mostra alcuna relazione tra le competenze a forma di T e la creazione di conoscenza. Questa contraddizione potrebbe farci riflettere sull'importanza dei sistemi di gestione </w:t>
      </w:r>
      <w:r w:rsidRPr="001F6CB4">
        <w:rPr>
          <w:rFonts w:ascii="Times New Roman" w:hAnsi="Times New Roman" w:cs="Times New Roman"/>
          <w:i/>
          <w:sz w:val="26"/>
          <w:szCs w:val="26"/>
        </w:rPr>
        <w:t>a forma di T</w:t>
      </w:r>
      <w:r w:rsidRPr="001F6CB4">
        <w:rPr>
          <w:rFonts w:ascii="Times New Roman" w:hAnsi="Times New Roman" w:cs="Times New Roman"/>
          <w:sz w:val="26"/>
          <w:szCs w:val="26"/>
        </w:rPr>
        <w:t>. I sistemi di gestione a forma di T tentano di superare la gerarchia aziendale tradizionale ed incoraggiare le persone a condividere le conoscenze. Tuttavia, la maggior parte degli attuali incentivi organizzativi formali, incoraggiano le competenze a forma di I (conoscenza profonda di una sola disciplina). In mancanza di un ambiente che stimola la nascita di competenze a forma di T è improbabile che venga creata naturalmente nuova conoscenza. Ciò implica che un elemento cruciale nella gestione di successo della conoscenza non è</w:t>
      </w:r>
      <w:r w:rsidR="00023C41">
        <w:rPr>
          <w:rFonts w:ascii="Times New Roman" w:hAnsi="Times New Roman" w:cs="Times New Roman"/>
          <w:sz w:val="26"/>
          <w:szCs w:val="26"/>
        </w:rPr>
        <w:t xml:space="preserve"> l’abilità a forma di T </w:t>
      </w:r>
      <w:r w:rsidRPr="001F6CB4">
        <w:rPr>
          <w:rFonts w:ascii="Times New Roman" w:hAnsi="Times New Roman" w:cs="Times New Roman"/>
          <w:sz w:val="26"/>
          <w:szCs w:val="26"/>
        </w:rPr>
        <w:t>in quanto tale, ma la gestione sistematica di questa competenza</w:t>
      </w:r>
      <w:r w:rsidRPr="001F6CB4">
        <w:rPr>
          <w:rStyle w:val="Rimandonotaapidipagina"/>
          <w:rFonts w:ascii="Times New Roman" w:hAnsi="Times New Roman" w:cs="Times New Roman"/>
          <w:sz w:val="26"/>
          <w:szCs w:val="26"/>
        </w:rPr>
        <w:footnoteReference w:id="24"/>
      </w:r>
      <w:r w:rsidRPr="001F6CB4">
        <w:rPr>
          <w:rFonts w:ascii="Times New Roman" w:hAnsi="Times New Roman" w:cs="Times New Roman"/>
          <w:sz w:val="26"/>
          <w:szCs w:val="26"/>
        </w:rPr>
        <w:t>.</w:t>
      </w: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p>
    <w:p w:rsidR="00A133F9"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lastRenderedPageBreak/>
        <w:t>Lo studio citato è di interesse teorico e pratico. In teoria, viene proposto un modello per gli studi empirici che collega i fattori abilitanti di gestione della conoscenza e i processi, con le performance organizzative. Esso è probabilmente il primo scritto in letteratura a stabilire questa visione integrativa della gestione della conoscenza ed il modello emergente può essere utilizzato come spunto per ulteriori ricerche empiriche sulla gestione della conoscenza. Da un punto di vista pratico, le relazioni fra la creazione di conoscenza, creatività organizzativa, e le performance organizzative possono fornire un indizio su come le imprese possono regolare processi di creazione di conoscenze per sostenere le loro prestazioni. Inoltre, i manager saranno m</w:t>
      </w:r>
      <w:r>
        <w:rPr>
          <w:rFonts w:ascii="Times New Roman" w:hAnsi="Times New Roman" w:cs="Times New Roman"/>
          <w:sz w:val="26"/>
          <w:szCs w:val="26"/>
        </w:rPr>
        <w:t>aggiormente</w:t>
      </w:r>
      <w:r w:rsidRPr="001F6CB4">
        <w:rPr>
          <w:rFonts w:ascii="Times New Roman" w:hAnsi="Times New Roman" w:cs="Times New Roman"/>
          <w:sz w:val="26"/>
          <w:szCs w:val="26"/>
        </w:rPr>
        <w:t xml:space="preserve"> in grado di trovare quali siano i fattori abilitanti fondamentali per la creazione di conoscenza. Poiché le imprese non possono gestire tutte le modalità di creazione della conoscenza, potrebbero avere bisogno di strategie solide che comportano compromessi. I risultati emersi </w:t>
      </w:r>
      <w:r>
        <w:rPr>
          <w:rFonts w:ascii="Times New Roman" w:hAnsi="Times New Roman" w:cs="Times New Roman"/>
          <w:sz w:val="26"/>
          <w:szCs w:val="26"/>
        </w:rPr>
        <w:t xml:space="preserve">dallo </w:t>
      </w:r>
      <w:r w:rsidRPr="001F6CB4">
        <w:rPr>
          <w:rFonts w:ascii="Times New Roman" w:hAnsi="Times New Roman" w:cs="Times New Roman"/>
          <w:sz w:val="26"/>
          <w:szCs w:val="26"/>
        </w:rPr>
        <w:t>studio possono indicare le seguenti strade per ulteriori ricerche. In primo luogo, l'analisi di diversi fattori quali il dominio della conoscenza</w:t>
      </w:r>
      <w:r w:rsidRPr="001F6CB4">
        <w:rPr>
          <w:rStyle w:val="Rimandonotaapidipagina"/>
          <w:rFonts w:ascii="Times New Roman" w:hAnsi="Times New Roman" w:cs="Times New Roman"/>
          <w:sz w:val="26"/>
          <w:szCs w:val="26"/>
        </w:rPr>
        <w:footnoteReference w:id="25"/>
      </w:r>
      <w:r w:rsidRPr="001F6CB4">
        <w:rPr>
          <w:rFonts w:ascii="Times New Roman" w:hAnsi="Times New Roman" w:cs="Times New Roman"/>
          <w:sz w:val="26"/>
          <w:szCs w:val="26"/>
        </w:rPr>
        <w:t xml:space="preserve"> o altri tipi di processi di conoscenza potrebbero portare ad interessanti implicazioni. Per esempio, un modello interessante è quello del trasferimento della conoscenza costituito da quattro processi: iniziazione, implementazione, accelerazione e integrazione</w:t>
      </w:r>
      <w:r w:rsidRPr="001F6CB4">
        <w:rPr>
          <w:rStyle w:val="Rimandonotaapidipagina"/>
          <w:rFonts w:ascii="Times New Roman" w:hAnsi="Times New Roman" w:cs="Times New Roman"/>
          <w:sz w:val="26"/>
          <w:szCs w:val="26"/>
        </w:rPr>
        <w:footnoteReference w:id="26"/>
      </w:r>
      <w:r w:rsidRPr="001F6CB4">
        <w:rPr>
          <w:rFonts w:ascii="Times New Roman" w:hAnsi="Times New Roman" w:cs="Times New Roman"/>
          <w:sz w:val="26"/>
          <w:szCs w:val="26"/>
        </w:rPr>
        <w:t xml:space="preserve">. In secondo luogo, lo studio mostra che i facilitatori della conoscenza possono migliorare la capacità di un'impresa di gestire tale conoscenza. In terzo luogo, i modelli di gestione della conoscenza potrebbero avere effetti positivi anche sul commercio elettronico che – come noto -  sta cambiando rapidamente il mondo del lavoro. La qualità della gestione della conoscenza potrebbe determinare il </w:t>
      </w:r>
      <w:r w:rsidRPr="001F6CB4">
        <w:rPr>
          <w:rFonts w:ascii="Times New Roman" w:hAnsi="Times New Roman" w:cs="Times New Roman"/>
          <w:sz w:val="26"/>
          <w:szCs w:val="26"/>
        </w:rPr>
        <w:lastRenderedPageBreak/>
        <w:t>successo del modello per il commercio elettronico. Ad esempio, Holsapple e Singh</w:t>
      </w:r>
      <w:r w:rsidRPr="001F6CB4">
        <w:rPr>
          <w:rStyle w:val="Rimandonotaapidipagina"/>
          <w:rFonts w:ascii="Times New Roman" w:hAnsi="Times New Roman" w:cs="Times New Roman"/>
          <w:sz w:val="26"/>
          <w:szCs w:val="26"/>
        </w:rPr>
        <w:footnoteReference w:id="27"/>
      </w:r>
      <w:r w:rsidRPr="001F6CB4">
        <w:rPr>
          <w:rFonts w:ascii="Times New Roman" w:hAnsi="Times New Roman" w:cs="Times New Roman"/>
          <w:sz w:val="26"/>
          <w:szCs w:val="26"/>
        </w:rPr>
        <w:t xml:space="preserve"> hanno proposto i benefici potenziali derivanti dall’applicazione dei principi di gestione della conoscenza al commercio elettronico. </w:t>
      </w:r>
    </w:p>
    <w:p w:rsidR="00027047" w:rsidRDefault="00027047" w:rsidP="00A133F9">
      <w:pPr>
        <w:spacing w:before="40" w:after="40" w:line="360" w:lineRule="auto"/>
        <w:ind w:left="1134" w:right="1134"/>
        <w:jc w:val="both"/>
        <w:rPr>
          <w:rFonts w:ascii="Times New Roman" w:hAnsi="Times New Roman" w:cs="Times New Roman"/>
          <w:sz w:val="26"/>
          <w:szCs w:val="26"/>
        </w:rPr>
      </w:pPr>
    </w:p>
    <w:p w:rsidR="00B37F36" w:rsidRDefault="00786D95" w:rsidP="00B37F36">
      <w:pPr>
        <w:spacing w:before="40" w:after="40" w:line="360" w:lineRule="auto"/>
        <w:ind w:left="1134" w:right="1134"/>
        <w:jc w:val="both"/>
        <w:rPr>
          <w:rFonts w:ascii="Times New Roman" w:hAnsi="Times New Roman" w:cs="Times New Roman"/>
          <w:sz w:val="26"/>
          <w:szCs w:val="26"/>
        </w:rPr>
      </w:pPr>
      <w:r>
        <w:rPr>
          <w:rFonts w:ascii="Times New Roman" w:hAnsi="Times New Roman" w:cs="Times New Roman"/>
          <w:sz w:val="26"/>
          <w:szCs w:val="26"/>
        </w:rPr>
        <w:t>Infine un ulteriore ricerca condotta nel</w:t>
      </w:r>
      <w:r w:rsidR="00027047">
        <w:rPr>
          <w:rFonts w:ascii="Times New Roman" w:hAnsi="Times New Roman" w:cs="Times New Roman"/>
          <w:sz w:val="26"/>
          <w:szCs w:val="26"/>
        </w:rPr>
        <w:t xml:space="preserve"> 2011 sulle </w:t>
      </w:r>
      <w:r w:rsidR="00027047" w:rsidRPr="00027047">
        <w:rPr>
          <w:rFonts w:ascii="Times New Roman" w:hAnsi="Times New Roman" w:cs="Times New Roman"/>
          <w:sz w:val="26"/>
          <w:szCs w:val="26"/>
        </w:rPr>
        <w:t>strutture utilizzate per analizzare la governance multilivello in sistemi umani complessi</w:t>
      </w:r>
      <w:r w:rsidR="005954DA">
        <w:rPr>
          <w:rStyle w:val="Rimandonotaapidipagina"/>
          <w:rFonts w:ascii="Times New Roman" w:hAnsi="Times New Roman" w:cs="Times New Roman"/>
          <w:sz w:val="26"/>
          <w:szCs w:val="26"/>
        </w:rPr>
        <w:footnoteReference w:id="28"/>
      </w:r>
      <w:r w:rsidR="00027047">
        <w:rPr>
          <w:rFonts w:ascii="Times New Roman" w:hAnsi="Times New Roman" w:cs="Times New Roman"/>
          <w:sz w:val="26"/>
          <w:szCs w:val="26"/>
        </w:rPr>
        <w:t xml:space="preserve">, ovvero </w:t>
      </w:r>
      <w:r w:rsidR="00027047" w:rsidRPr="00027047">
        <w:rPr>
          <w:rFonts w:ascii="Times New Roman" w:hAnsi="Times New Roman" w:cs="Times New Roman"/>
          <w:sz w:val="26"/>
          <w:szCs w:val="26"/>
        </w:rPr>
        <w:t>Service Science (SSME+D),</w:t>
      </w:r>
      <w:r w:rsidR="00027047">
        <w:rPr>
          <w:rFonts w:ascii="Times New Roman" w:hAnsi="Times New Roman" w:cs="Times New Roman"/>
          <w:sz w:val="26"/>
          <w:szCs w:val="26"/>
        </w:rPr>
        <w:t xml:space="preserve"> Viable Systems Approach (VSA) e </w:t>
      </w:r>
      <w:r w:rsidR="00027047" w:rsidRPr="00027047">
        <w:rPr>
          <w:rFonts w:ascii="Times New Roman" w:hAnsi="Times New Roman" w:cs="Times New Roman"/>
          <w:sz w:val="26"/>
          <w:szCs w:val="26"/>
        </w:rPr>
        <w:t xml:space="preserve">Institutional </w:t>
      </w:r>
      <w:r w:rsidR="00027047">
        <w:rPr>
          <w:rFonts w:ascii="Times New Roman" w:hAnsi="Times New Roman" w:cs="Times New Roman"/>
          <w:sz w:val="26"/>
          <w:szCs w:val="26"/>
        </w:rPr>
        <w:t xml:space="preserve">Analysis and Development (IAD) al fine di ampliare </w:t>
      </w:r>
      <w:r w:rsidR="00027047" w:rsidRPr="00027047">
        <w:rPr>
          <w:rFonts w:ascii="Times New Roman" w:hAnsi="Times New Roman" w:cs="Times New Roman"/>
          <w:sz w:val="26"/>
          <w:szCs w:val="26"/>
        </w:rPr>
        <w:t xml:space="preserve">la conoscenza dello </w:t>
      </w:r>
      <w:r w:rsidR="00027047">
        <w:rPr>
          <w:rFonts w:ascii="Times New Roman" w:hAnsi="Times New Roman" w:cs="Times New Roman"/>
          <w:sz w:val="26"/>
          <w:szCs w:val="26"/>
        </w:rPr>
        <w:t>stesso</w:t>
      </w:r>
      <w:r w:rsidR="00027047" w:rsidRPr="00027047">
        <w:rPr>
          <w:rFonts w:ascii="Times New Roman" w:hAnsi="Times New Roman" w:cs="Times New Roman"/>
          <w:sz w:val="26"/>
          <w:szCs w:val="26"/>
        </w:rPr>
        <w:t xml:space="preserve"> nella c</w:t>
      </w:r>
      <w:r w:rsidR="00027047">
        <w:rPr>
          <w:rFonts w:ascii="Times New Roman" w:hAnsi="Times New Roman" w:cs="Times New Roman"/>
          <w:sz w:val="26"/>
          <w:szCs w:val="26"/>
        </w:rPr>
        <w:t>omunità di ricerca del servizio, ha evidenziato che n</w:t>
      </w:r>
      <w:r w:rsidR="00027047" w:rsidRPr="00027047">
        <w:rPr>
          <w:rFonts w:ascii="Times New Roman" w:hAnsi="Times New Roman" w:cs="Times New Roman"/>
          <w:sz w:val="26"/>
          <w:szCs w:val="26"/>
        </w:rPr>
        <w:t xml:space="preserve">el corso del tempo ci sarà sempre maggiore domanda di professionisti a forma di T che siano capaci di muoversi fluentemente fra molteplici discipline, sistemi e culture. </w:t>
      </w:r>
      <w:r>
        <w:rPr>
          <w:rFonts w:ascii="Times New Roman" w:hAnsi="Times New Roman" w:cs="Times New Roman"/>
          <w:sz w:val="26"/>
          <w:szCs w:val="26"/>
        </w:rPr>
        <w:t>Sottolineando</w:t>
      </w:r>
      <w:r w:rsidR="00027047">
        <w:rPr>
          <w:rFonts w:ascii="Times New Roman" w:hAnsi="Times New Roman" w:cs="Times New Roman"/>
          <w:sz w:val="26"/>
          <w:szCs w:val="26"/>
        </w:rPr>
        <w:t xml:space="preserve"> altresì che</w:t>
      </w:r>
      <w:r w:rsidR="00B37F36">
        <w:rPr>
          <w:rFonts w:ascii="Times New Roman" w:hAnsi="Times New Roman" w:cs="Times New Roman"/>
          <w:sz w:val="26"/>
          <w:szCs w:val="26"/>
        </w:rPr>
        <w:t xml:space="preserve"> </w:t>
      </w:r>
      <w:r>
        <w:rPr>
          <w:rFonts w:ascii="Times New Roman" w:hAnsi="Times New Roman" w:cs="Times New Roman"/>
          <w:sz w:val="26"/>
          <w:szCs w:val="26"/>
        </w:rPr>
        <w:t xml:space="preserve">sono </w:t>
      </w:r>
      <w:r w:rsidR="00027047" w:rsidRPr="00027047">
        <w:rPr>
          <w:rFonts w:ascii="Times New Roman" w:hAnsi="Times New Roman" w:cs="Times New Roman"/>
          <w:sz w:val="26"/>
          <w:szCs w:val="26"/>
        </w:rPr>
        <w:t>necessari molti altri professionisti</w:t>
      </w:r>
      <w:r w:rsidR="003E1853">
        <w:rPr>
          <w:rStyle w:val="Rimandonotaapidipagina"/>
          <w:rFonts w:ascii="Times New Roman" w:hAnsi="Times New Roman" w:cs="Times New Roman"/>
          <w:sz w:val="26"/>
          <w:szCs w:val="26"/>
        </w:rPr>
        <w:footnoteReference w:id="29"/>
      </w:r>
      <w:r w:rsidR="00027047" w:rsidRPr="00027047">
        <w:rPr>
          <w:rFonts w:ascii="Times New Roman" w:hAnsi="Times New Roman" w:cs="Times New Roman"/>
          <w:sz w:val="26"/>
          <w:szCs w:val="26"/>
        </w:rPr>
        <w:t xml:space="preserve"> </w:t>
      </w:r>
      <w:r w:rsidR="00B37F36">
        <w:rPr>
          <w:rFonts w:ascii="Times New Roman" w:hAnsi="Times New Roman" w:cs="Times New Roman"/>
          <w:sz w:val="26"/>
          <w:szCs w:val="26"/>
        </w:rPr>
        <w:t>(alcuni già p</w:t>
      </w:r>
      <w:r w:rsidR="00A4763F">
        <w:rPr>
          <w:rFonts w:ascii="Times New Roman" w:hAnsi="Times New Roman" w:cs="Times New Roman"/>
          <w:sz w:val="26"/>
          <w:szCs w:val="26"/>
        </w:rPr>
        <w:t>recedentemente citati). Nel</w:t>
      </w:r>
      <w:r w:rsidR="00B37F36">
        <w:rPr>
          <w:rFonts w:ascii="Times New Roman" w:hAnsi="Times New Roman" w:cs="Times New Roman"/>
          <w:sz w:val="26"/>
          <w:szCs w:val="26"/>
        </w:rPr>
        <w:t xml:space="preserve"> complesso le figure professionali saranno così ripartite:</w:t>
      </w:r>
    </w:p>
    <w:p w:rsidR="00027047" w:rsidRPr="00027047" w:rsidRDefault="00027047" w:rsidP="003E1853">
      <w:pPr>
        <w:spacing w:before="40" w:after="40" w:line="360" w:lineRule="auto"/>
        <w:ind w:right="1134"/>
        <w:jc w:val="both"/>
        <w:rPr>
          <w:rFonts w:ascii="Times New Roman" w:hAnsi="Times New Roman" w:cs="Times New Roman"/>
          <w:sz w:val="26"/>
          <w:szCs w:val="26"/>
        </w:rPr>
      </w:pPr>
    </w:p>
    <w:p w:rsidR="00027047" w:rsidRPr="00027047" w:rsidRDefault="00027047" w:rsidP="00027047">
      <w:pPr>
        <w:spacing w:before="40" w:after="40" w:line="360" w:lineRule="auto"/>
        <w:ind w:left="1134" w:right="1134"/>
        <w:jc w:val="both"/>
        <w:rPr>
          <w:rFonts w:ascii="Times New Roman" w:hAnsi="Times New Roman" w:cs="Times New Roman"/>
          <w:sz w:val="26"/>
          <w:szCs w:val="26"/>
        </w:rPr>
      </w:pPr>
      <w:r w:rsidRPr="00027047">
        <w:rPr>
          <w:rFonts w:ascii="Times New Roman" w:hAnsi="Times New Roman" w:cs="Times New Roman"/>
          <w:sz w:val="26"/>
          <w:szCs w:val="26"/>
        </w:rPr>
        <w:t xml:space="preserve">- Specialista o I-Shaped. Una delle risorse umane </w:t>
      </w:r>
      <w:r w:rsidR="0008543E">
        <w:rPr>
          <w:rFonts w:ascii="Times New Roman" w:hAnsi="Times New Roman" w:cs="Times New Roman"/>
          <w:sz w:val="26"/>
          <w:szCs w:val="26"/>
        </w:rPr>
        <w:t xml:space="preserve">maggiormente specializzate, </w:t>
      </w:r>
      <w:r w:rsidRPr="00027047">
        <w:rPr>
          <w:rFonts w:ascii="Times New Roman" w:hAnsi="Times New Roman" w:cs="Times New Roman"/>
          <w:sz w:val="26"/>
          <w:szCs w:val="26"/>
        </w:rPr>
        <w:t>con una forte profondità ma ridotta ampiezza al fine di essere in armonia con altri professionisti del settore;</w:t>
      </w:r>
    </w:p>
    <w:p w:rsidR="00027047" w:rsidRPr="00027047" w:rsidRDefault="00027047" w:rsidP="00027047">
      <w:pPr>
        <w:spacing w:before="40" w:after="40" w:line="360" w:lineRule="auto"/>
        <w:ind w:left="1134" w:right="1134"/>
        <w:jc w:val="both"/>
        <w:rPr>
          <w:rFonts w:ascii="Times New Roman" w:hAnsi="Times New Roman" w:cs="Times New Roman"/>
          <w:sz w:val="26"/>
          <w:szCs w:val="26"/>
        </w:rPr>
      </w:pPr>
    </w:p>
    <w:p w:rsidR="00027047" w:rsidRPr="00027047" w:rsidRDefault="00027047" w:rsidP="00027047">
      <w:pPr>
        <w:spacing w:before="40" w:after="40" w:line="360" w:lineRule="auto"/>
        <w:ind w:left="1134" w:right="1134"/>
        <w:jc w:val="both"/>
        <w:rPr>
          <w:rFonts w:ascii="Times New Roman" w:hAnsi="Times New Roman" w:cs="Times New Roman"/>
          <w:sz w:val="26"/>
          <w:szCs w:val="26"/>
        </w:rPr>
      </w:pPr>
      <w:r w:rsidRPr="00027047">
        <w:rPr>
          <w:rFonts w:ascii="Times New Roman" w:hAnsi="Times New Roman" w:cs="Times New Roman"/>
          <w:sz w:val="26"/>
          <w:szCs w:val="26"/>
        </w:rPr>
        <w:t>- H-Shaped. Un professionis</w:t>
      </w:r>
      <w:r w:rsidR="0008543E">
        <w:rPr>
          <w:rFonts w:ascii="Times New Roman" w:hAnsi="Times New Roman" w:cs="Times New Roman"/>
          <w:sz w:val="26"/>
          <w:szCs w:val="26"/>
        </w:rPr>
        <w:t xml:space="preserve">ta specializzato in due aree </w:t>
      </w:r>
      <w:r w:rsidRPr="00027047">
        <w:rPr>
          <w:rFonts w:ascii="Times New Roman" w:hAnsi="Times New Roman" w:cs="Times New Roman"/>
          <w:sz w:val="26"/>
          <w:szCs w:val="26"/>
        </w:rPr>
        <w:t>disciplinari, con un'ampiezza sufficiente a collaborare con professionisti appartenenti alle stesse aree discipl</w:t>
      </w:r>
      <w:r w:rsidR="0008543E">
        <w:rPr>
          <w:rFonts w:ascii="Times New Roman" w:hAnsi="Times New Roman" w:cs="Times New Roman"/>
          <w:sz w:val="26"/>
          <w:szCs w:val="26"/>
        </w:rPr>
        <w:t>inari</w:t>
      </w:r>
      <w:r w:rsidRPr="00027047">
        <w:rPr>
          <w:rFonts w:ascii="Times New Roman" w:hAnsi="Times New Roman" w:cs="Times New Roman"/>
          <w:sz w:val="26"/>
          <w:szCs w:val="26"/>
        </w:rPr>
        <w:t>;</w:t>
      </w:r>
    </w:p>
    <w:p w:rsidR="00027047" w:rsidRPr="00027047" w:rsidRDefault="00027047" w:rsidP="00027047">
      <w:pPr>
        <w:spacing w:before="40" w:after="40" w:line="360" w:lineRule="auto"/>
        <w:ind w:left="1134" w:right="1134"/>
        <w:jc w:val="both"/>
        <w:rPr>
          <w:rFonts w:ascii="Times New Roman" w:hAnsi="Times New Roman" w:cs="Times New Roman"/>
          <w:sz w:val="26"/>
          <w:szCs w:val="26"/>
        </w:rPr>
      </w:pPr>
    </w:p>
    <w:p w:rsidR="00027047" w:rsidRPr="00027047" w:rsidRDefault="008412D9" w:rsidP="00027047">
      <w:pPr>
        <w:spacing w:before="40" w:after="40" w:line="360" w:lineRule="auto"/>
        <w:ind w:left="1134" w:right="1134"/>
        <w:jc w:val="both"/>
        <w:rPr>
          <w:rFonts w:ascii="Times New Roman" w:hAnsi="Times New Roman" w:cs="Times New Roman"/>
          <w:sz w:val="26"/>
          <w:szCs w:val="26"/>
        </w:rPr>
      </w:pPr>
      <w:r>
        <w:rPr>
          <w:rFonts w:ascii="Times New Roman" w:hAnsi="Times New Roman" w:cs="Times New Roman"/>
          <w:sz w:val="26"/>
          <w:szCs w:val="26"/>
        </w:rPr>
        <w:lastRenderedPageBreak/>
        <w:t>- Generalista o Dash-Shaped.</w:t>
      </w:r>
      <w:r w:rsidR="00027047" w:rsidRPr="00027047">
        <w:rPr>
          <w:rFonts w:ascii="Times New Roman" w:hAnsi="Times New Roman" w:cs="Times New Roman"/>
          <w:sz w:val="26"/>
          <w:szCs w:val="26"/>
        </w:rPr>
        <w:t xml:space="preserve"> Una risorsa umana senza una particolare specializzazione, in grado di operare sulla base di una larghezza sufficiente</w:t>
      </w:r>
      <w:r>
        <w:rPr>
          <w:rFonts w:ascii="Times New Roman" w:hAnsi="Times New Roman" w:cs="Times New Roman"/>
          <w:sz w:val="26"/>
          <w:szCs w:val="26"/>
        </w:rPr>
        <w:t>,</w:t>
      </w:r>
      <w:r w:rsidR="00027047" w:rsidRPr="00027047">
        <w:rPr>
          <w:rFonts w:ascii="Times New Roman" w:hAnsi="Times New Roman" w:cs="Times New Roman"/>
          <w:sz w:val="26"/>
          <w:szCs w:val="26"/>
        </w:rPr>
        <w:t xml:space="preserve"> quale gestore (manager) generico;</w:t>
      </w:r>
    </w:p>
    <w:p w:rsidR="00027047" w:rsidRPr="00027047" w:rsidRDefault="00027047" w:rsidP="00027047">
      <w:pPr>
        <w:spacing w:before="40" w:after="40" w:line="360" w:lineRule="auto"/>
        <w:ind w:left="1134" w:right="1134"/>
        <w:jc w:val="both"/>
        <w:rPr>
          <w:rFonts w:ascii="Times New Roman" w:hAnsi="Times New Roman" w:cs="Times New Roman"/>
          <w:sz w:val="26"/>
          <w:szCs w:val="26"/>
        </w:rPr>
      </w:pPr>
    </w:p>
    <w:p w:rsidR="00027047" w:rsidRPr="00027047" w:rsidRDefault="00027047" w:rsidP="00027047">
      <w:pPr>
        <w:spacing w:before="40" w:after="40" w:line="360" w:lineRule="auto"/>
        <w:ind w:left="1134" w:right="1134"/>
        <w:jc w:val="both"/>
        <w:rPr>
          <w:rFonts w:ascii="Times New Roman" w:hAnsi="Times New Roman" w:cs="Times New Roman"/>
          <w:sz w:val="26"/>
          <w:szCs w:val="26"/>
        </w:rPr>
      </w:pPr>
      <w:r w:rsidRPr="00027047">
        <w:rPr>
          <w:rFonts w:ascii="Times New Roman" w:hAnsi="Times New Roman" w:cs="Times New Roman"/>
          <w:sz w:val="26"/>
          <w:szCs w:val="26"/>
        </w:rPr>
        <w:t>- T-Shaped. Un professionista con una vasta profondità (come specialista) e una grande ampiezza tale da essere complementare con altri per migliorare le competenze comuni e condivise;</w:t>
      </w:r>
    </w:p>
    <w:p w:rsidR="00027047" w:rsidRPr="00027047" w:rsidRDefault="00027047" w:rsidP="00027047">
      <w:pPr>
        <w:spacing w:before="40" w:after="40" w:line="360" w:lineRule="auto"/>
        <w:ind w:left="1134" w:right="1134"/>
        <w:jc w:val="both"/>
        <w:rPr>
          <w:rFonts w:ascii="Times New Roman" w:hAnsi="Times New Roman" w:cs="Times New Roman"/>
          <w:sz w:val="26"/>
          <w:szCs w:val="26"/>
        </w:rPr>
      </w:pPr>
    </w:p>
    <w:p w:rsidR="00027047" w:rsidRPr="00027047" w:rsidRDefault="008412D9" w:rsidP="00027047">
      <w:pPr>
        <w:spacing w:before="40" w:after="40" w:line="360" w:lineRule="auto"/>
        <w:ind w:left="1134" w:right="1134"/>
        <w:jc w:val="both"/>
        <w:rPr>
          <w:rFonts w:ascii="Times New Roman" w:hAnsi="Times New Roman" w:cs="Times New Roman"/>
          <w:sz w:val="26"/>
          <w:szCs w:val="26"/>
        </w:rPr>
      </w:pPr>
      <w:r>
        <w:rPr>
          <w:rFonts w:ascii="Times New Roman" w:hAnsi="Times New Roman" w:cs="Times New Roman"/>
          <w:sz w:val="26"/>
          <w:szCs w:val="26"/>
        </w:rPr>
        <w:t>- π</w:t>
      </w:r>
      <w:r w:rsidR="00027047" w:rsidRPr="00027047">
        <w:rPr>
          <w:rFonts w:ascii="Times New Roman" w:hAnsi="Times New Roman" w:cs="Times New Roman"/>
          <w:sz w:val="26"/>
          <w:szCs w:val="26"/>
        </w:rPr>
        <w:t>-Shaped. Un ipotetico professionista con un’enorme profondità ed ampiezza in grado di esprimere competenze tecniche specifiche in diversi settori disciplinari;</w:t>
      </w:r>
    </w:p>
    <w:p w:rsidR="00027047" w:rsidRPr="00027047" w:rsidRDefault="00027047" w:rsidP="00027047">
      <w:pPr>
        <w:spacing w:before="40" w:after="40" w:line="360" w:lineRule="auto"/>
        <w:ind w:left="1134" w:right="1134"/>
        <w:jc w:val="both"/>
        <w:rPr>
          <w:rFonts w:ascii="Times New Roman" w:hAnsi="Times New Roman" w:cs="Times New Roman"/>
          <w:sz w:val="26"/>
          <w:szCs w:val="26"/>
        </w:rPr>
      </w:pPr>
    </w:p>
    <w:p w:rsidR="00027047" w:rsidRDefault="00027047" w:rsidP="00027047">
      <w:pPr>
        <w:spacing w:before="40" w:after="40" w:line="360" w:lineRule="auto"/>
        <w:ind w:left="1134" w:right="1134"/>
        <w:jc w:val="both"/>
        <w:rPr>
          <w:rFonts w:ascii="Times New Roman" w:hAnsi="Times New Roman" w:cs="Times New Roman"/>
          <w:sz w:val="26"/>
          <w:szCs w:val="26"/>
        </w:rPr>
      </w:pPr>
      <w:r w:rsidRPr="00027047">
        <w:rPr>
          <w:rFonts w:ascii="Times New Roman" w:hAnsi="Times New Roman" w:cs="Times New Roman"/>
          <w:sz w:val="26"/>
          <w:szCs w:val="26"/>
        </w:rPr>
        <w:t>- Wedgies. Un professionista di media profondità ed ampiezza sufficiente ad essere interconnesso con gli altri.</w:t>
      </w:r>
    </w:p>
    <w:p w:rsidR="00A133F9" w:rsidRDefault="00A133F9" w:rsidP="00A133F9">
      <w:pPr>
        <w:spacing w:before="40" w:after="40" w:line="360" w:lineRule="auto"/>
        <w:ind w:left="1134" w:right="1134"/>
        <w:jc w:val="both"/>
        <w:rPr>
          <w:rFonts w:ascii="Times New Roman" w:hAnsi="Times New Roman" w:cs="Times New Roman"/>
          <w:sz w:val="26"/>
          <w:szCs w:val="26"/>
        </w:rPr>
      </w:pPr>
    </w:p>
    <w:p w:rsidR="001F2286" w:rsidRPr="001F2286" w:rsidRDefault="001F2286" w:rsidP="001F2286">
      <w:pPr>
        <w:spacing w:before="40" w:after="40" w:line="360" w:lineRule="auto"/>
        <w:ind w:left="1134" w:right="1134"/>
        <w:jc w:val="both"/>
        <w:rPr>
          <w:rFonts w:ascii="Times New Roman" w:hAnsi="Times New Roman" w:cs="Times New Roman"/>
          <w:sz w:val="26"/>
          <w:szCs w:val="26"/>
        </w:rPr>
      </w:pPr>
      <w:r w:rsidRPr="001F2286">
        <w:rPr>
          <w:rFonts w:ascii="Times New Roman" w:hAnsi="Times New Roman" w:cs="Times New Roman"/>
          <w:sz w:val="26"/>
          <w:szCs w:val="26"/>
        </w:rPr>
        <w:t xml:space="preserve">In una prospettiva Service Science, la "forma di un professionista" indica le capacità che i professionisti possono applicare quando sono coinvolti nella soluzione dei problemi e quando comunicano con </w:t>
      </w:r>
      <w:r>
        <w:rPr>
          <w:rFonts w:ascii="Times New Roman" w:hAnsi="Times New Roman" w:cs="Times New Roman"/>
          <w:sz w:val="26"/>
          <w:szCs w:val="26"/>
        </w:rPr>
        <w:t xml:space="preserve">altri professionisti come parte </w:t>
      </w:r>
      <w:r w:rsidRPr="001F2286">
        <w:rPr>
          <w:rFonts w:ascii="Times New Roman" w:hAnsi="Times New Roman" w:cs="Times New Roman"/>
          <w:sz w:val="26"/>
          <w:szCs w:val="26"/>
        </w:rPr>
        <w:t>di un team di progetto</w:t>
      </w:r>
      <w:r>
        <w:rPr>
          <w:rStyle w:val="Rimandonotaapidipagina"/>
          <w:rFonts w:ascii="Times New Roman" w:hAnsi="Times New Roman" w:cs="Times New Roman"/>
          <w:sz w:val="26"/>
          <w:szCs w:val="26"/>
        </w:rPr>
        <w:footnoteReference w:id="30"/>
      </w:r>
      <w:r w:rsidRPr="001F2286">
        <w:rPr>
          <w:rFonts w:ascii="Times New Roman" w:hAnsi="Times New Roman" w:cs="Times New Roman"/>
          <w:sz w:val="26"/>
          <w:szCs w:val="26"/>
        </w:rPr>
        <w:t xml:space="preserve"> (Spohrer et al, 2010: 10). Se la governance</w:t>
      </w:r>
      <w:r>
        <w:rPr>
          <w:rFonts w:ascii="Times New Roman" w:hAnsi="Times New Roman" w:cs="Times New Roman"/>
          <w:sz w:val="26"/>
          <w:szCs w:val="26"/>
        </w:rPr>
        <w:t xml:space="preserve"> fa riferimento al governo come </w:t>
      </w:r>
      <w:r w:rsidRPr="001F2286">
        <w:rPr>
          <w:rFonts w:ascii="Times New Roman" w:hAnsi="Times New Roman" w:cs="Times New Roman"/>
          <w:sz w:val="26"/>
          <w:szCs w:val="26"/>
        </w:rPr>
        <w:t>attività finalizzata a garantire la sostenibilità</w:t>
      </w:r>
      <w:r>
        <w:rPr>
          <w:rFonts w:ascii="Times New Roman" w:hAnsi="Times New Roman" w:cs="Times New Roman"/>
          <w:sz w:val="26"/>
          <w:szCs w:val="26"/>
        </w:rPr>
        <w:t xml:space="preserve"> dei sistemi, allora i T-Shaped </w:t>
      </w:r>
      <w:r w:rsidRPr="001F2286">
        <w:rPr>
          <w:rFonts w:ascii="Times New Roman" w:hAnsi="Times New Roman" w:cs="Times New Roman"/>
          <w:sz w:val="26"/>
          <w:szCs w:val="26"/>
        </w:rPr>
        <w:t>professionals sono individui con talento per la produzione di valore globale di co-creazione e di Whole Services. In effetti, i professionisti a forma di T gestisc</w:t>
      </w:r>
      <w:r>
        <w:rPr>
          <w:rFonts w:ascii="Times New Roman" w:hAnsi="Times New Roman" w:cs="Times New Roman"/>
          <w:sz w:val="26"/>
          <w:szCs w:val="26"/>
        </w:rPr>
        <w:t xml:space="preserve">ono l'incertezza decisionale in </w:t>
      </w:r>
      <w:r w:rsidRPr="001F2286">
        <w:rPr>
          <w:rFonts w:ascii="Times New Roman" w:hAnsi="Times New Roman" w:cs="Times New Roman"/>
          <w:sz w:val="26"/>
          <w:szCs w:val="26"/>
        </w:rPr>
        <w:t xml:space="preserve">uno scenario complesso; questo significa in altre parole che </w:t>
      </w:r>
      <w:r>
        <w:rPr>
          <w:rFonts w:ascii="Times New Roman" w:hAnsi="Times New Roman" w:cs="Times New Roman"/>
          <w:sz w:val="26"/>
          <w:szCs w:val="26"/>
        </w:rPr>
        <w:t xml:space="preserve">i professionisti T-Shaped sanno </w:t>
      </w:r>
      <w:r w:rsidRPr="001F2286">
        <w:rPr>
          <w:rFonts w:ascii="Times New Roman" w:hAnsi="Times New Roman" w:cs="Times New Roman"/>
          <w:sz w:val="26"/>
          <w:szCs w:val="26"/>
        </w:rPr>
        <w:t xml:space="preserve">"cosa fare" - gli obiettivi e le conclusioni - e fanno </w:t>
      </w:r>
      <w:r w:rsidRPr="001F2286">
        <w:rPr>
          <w:rFonts w:ascii="Times New Roman" w:hAnsi="Times New Roman" w:cs="Times New Roman"/>
          <w:sz w:val="26"/>
          <w:szCs w:val="26"/>
        </w:rPr>
        <w:lastRenderedPageBreak/>
        <w:t>"quello che sanno" -</w:t>
      </w:r>
      <w:r>
        <w:rPr>
          <w:rFonts w:ascii="Times New Roman" w:hAnsi="Times New Roman" w:cs="Times New Roman"/>
          <w:sz w:val="26"/>
          <w:szCs w:val="26"/>
        </w:rPr>
        <w:t xml:space="preserve"> vale a dire le loro competenze e i loro mezzi </w:t>
      </w:r>
      <w:r w:rsidRPr="001F2286">
        <w:rPr>
          <w:rFonts w:ascii="Times New Roman" w:hAnsi="Times New Roman" w:cs="Times New Roman"/>
          <w:sz w:val="26"/>
          <w:szCs w:val="26"/>
        </w:rPr>
        <w:t>(Spohrer et al, 2010: 12).</w:t>
      </w:r>
    </w:p>
    <w:p w:rsidR="001F2286" w:rsidRDefault="001F2286" w:rsidP="001F2286">
      <w:pPr>
        <w:spacing w:before="40" w:after="40" w:line="360" w:lineRule="auto"/>
        <w:ind w:left="1134" w:right="1134"/>
        <w:jc w:val="both"/>
        <w:rPr>
          <w:rFonts w:ascii="Times New Roman" w:hAnsi="Times New Roman" w:cs="Times New Roman"/>
          <w:sz w:val="26"/>
          <w:szCs w:val="26"/>
        </w:rPr>
      </w:pPr>
    </w:p>
    <w:p w:rsidR="001F2286" w:rsidRDefault="001F2286" w:rsidP="001F2286">
      <w:pPr>
        <w:spacing w:before="40" w:after="40" w:line="360" w:lineRule="auto"/>
        <w:ind w:left="1134" w:right="1134"/>
        <w:jc w:val="both"/>
        <w:rPr>
          <w:rFonts w:ascii="Times New Roman" w:hAnsi="Times New Roman" w:cs="Times New Roman"/>
          <w:sz w:val="26"/>
          <w:szCs w:val="26"/>
        </w:rPr>
      </w:pPr>
      <w:r w:rsidRPr="001F2286">
        <w:rPr>
          <w:rFonts w:ascii="Times New Roman" w:hAnsi="Times New Roman" w:cs="Times New Roman"/>
          <w:sz w:val="26"/>
          <w:szCs w:val="26"/>
        </w:rPr>
        <w:t>La ricerca futura è necessaria per accertare come implementare meccanismi intelligenti di</w:t>
      </w:r>
      <w:r>
        <w:rPr>
          <w:rFonts w:ascii="Times New Roman" w:hAnsi="Times New Roman" w:cs="Times New Roman"/>
          <w:sz w:val="26"/>
          <w:szCs w:val="26"/>
        </w:rPr>
        <w:t xml:space="preserve"> </w:t>
      </w:r>
      <w:r w:rsidRPr="001F2286">
        <w:rPr>
          <w:rFonts w:ascii="Times New Roman" w:hAnsi="Times New Roman" w:cs="Times New Roman"/>
          <w:sz w:val="26"/>
          <w:szCs w:val="26"/>
        </w:rPr>
        <w:t>governance e come i primi sono collegati ad un "qu</w:t>
      </w:r>
      <w:r>
        <w:rPr>
          <w:rFonts w:ascii="Times New Roman" w:hAnsi="Times New Roman" w:cs="Times New Roman"/>
          <w:sz w:val="26"/>
          <w:szCs w:val="26"/>
        </w:rPr>
        <w:t xml:space="preserve">adro di governance migliorata </w:t>
      </w:r>
      <w:r w:rsidRPr="001F2286">
        <w:rPr>
          <w:rFonts w:ascii="Times New Roman" w:hAnsi="Times New Roman" w:cs="Times New Roman"/>
          <w:sz w:val="26"/>
          <w:szCs w:val="26"/>
        </w:rPr>
        <w:t>per guidare i decisori politici a raggiungere a lungo termine, re</w:t>
      </w:r>
      <w:r>
        <w:rPr>
          <w:rFonts w:ascii="Times New Roman" w:hAnsi="Times New Roman" w:cs="Times New Roman"/>
          <w:sz w:val="26"/>
          <w:szCs w:val="26"/>
        </w:rPr>
        <w:t xml:space="preserve">gionale, la qualità della vita" </w:t>
      </w:r>
      <w:r w:rsidRPr="001F2286">
        <w:rPr>
          <w:rFonts w:ascii="Times New Roman" w:hAnsi="Times New Roman" w:cs="Times New Roman"/>
          <w:sz w:val="26"/>
          <w:szCs w:val="26"/>
        </w:rPr>
        <w:t>(Fleming e Spohrer, 2011: 1).</w:t>
      </w:r>
    </w:p>
    <w:p w:rsidR="008412D9" w:rsidRPr="001F6CB4" w:rsidRDefault="008412D9" w:rsidP="00A133F9">
      <w:pPr>
        <w:spacing w:before="40" w:after="40" w:line="360" w:lineRule="auto"/>
        <w:ind w:left="1134" w:right="1134"/>
        <w:jc w:val="both"/>
        <w:rPr>
          <w:rFonts w:ascii="Times New Roman" w:hAnsi="Times New Roman" w:cs="Times New Roman"/>
          <w:sz w:val="26"/>
          <w:szCs w:val="26"/>
        </w:rPr>
      </w:pPr>
    </w:p>
    <w:p w:rsidR="00A133F9" w:rsidRDefault="00A133F9" w:rsidP="00A133F9">
      <w:pPr>
        <w:spacing w:before="40" w:after="40"/>
        <w:ind w:left="1134" w:right="1134"/>
        <w:jc w:val="both"/>
        <w:rPr>
          <w:rFonts w:ascii="Times New Roman" w:hAnsi="Times New Roman" w:cs="Times New Roman"/>
          <w:sz w:val="26"/>
          <w:szCs w:val="26"/>
        </w:rPr>
      </w:pPr>
    </w:p>
    <w:p w:rsidR="00A133F9" w:rsidRDefault="00FF4B00" w:rsidP="00A133F9">
      <w:pPr>
        <w:spacing w:before="40" w:after="40"/>
        <w:ind w:left="1134" w:right="1134"/>
        <w:jc w:val="both"/>
        <w:rPr>
          <w:rFonts w:ascii="Times New Roman" w:hAnsi="Times New Roman" w:cs="Times New Roman"/>
          <w:sz w:val="26"/>
          <w:szCs w:val="26"/>
        </w:rPr>
      </w:pPr>
      <w:r>
        <w:rPr>
          <w:rFonts w:ascii="Times New Roman" w:hAnsi="Times New Roman" w:cs="Times New Roman"/>
          <w:sz w:val="26"/>
          <w:szCs w:val="26"/>
        </w:rPr>
        <w:t>1.3</w:t>
      </w:r>
      <w:r w:rsidR="00A133F9">
        <w:rPr>
          <w:rFonts w:ascii="Times New Roman" w:hAnsi="Times New Roman" w:cs="Times New Roman"/>
          <w:sz w:val="26"/>
          <w:szCs w:val="26"/>
        </w:rPr>
        <w:t xml:space="preserve"> Cresce la domanda di formare T-shaped professional: il rapporto Cambridge 2008</w:t>
      </w:r>
    </w:p>
    <w:p w:rsidR="00A133F9" w:rsidRPr="001F6CB4" w:rsidRDefault="00A133F9" w:rsidP="00A133F9">
      <w:pPr>
        <w:spacing w:before="40" w:after="40"/>
        <w:ind w:left="1134" w:right="1134"/>
        <w:jc w:val="both"/>
        <w:rPr>
          <w:rFonts w:ascii="Times New Roman" w:hAnsi="Times New Roman" w:cs="Times New Roman"/>
          <w:sz w:val="26"/>
          <w:szCs w:val="26"/>
        </w:rPr>
      </w:pP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 xml:space="preserve">Oggigiorno appare evidente che la scienza, il management e l'ingegneria dei sistemi di servizio siano sempre più associati alla richiesta di </w:t>
      </w:r>
      <w:r w:rsidRPr="001F6CB4">
        <w:rPr>
          <w:rFonts w:ascii="Times New Roman" w:hAnsi="Times New Roman" w:cs="Times New Roman"/>
          <w:i/>
          <w:sz w:val="26"/>
          <w:szCs w:val="26"/>
        </w:rPr>
        <w:t>T-shaped people</w:t>
      </w:r>
      <w:r w:rsidRPr="001F6CB4">
        <w:rPr>
          <w:rFonts w:ascii="Times New Roman" w:hAnsi="Times New Roman" w:cs="Times New Roman"/>
          <w:sz w:val="26"/>
          <w:szCs w:val="26"/>
        </w:rPr>
        <w:t xml:space="preserve"> (professionisti con competenza a T). L'enfasi più recente sui </w:t>
      </w:r>
      <w:r>
        <w:rPr>
          <w:rFonts w:ascii="Times New Roman" w:hAnsi="Times New Roman" w:cs="Times New Roman"/>
          <w:i/>
          <w:sz w:val="26"/>
          <w:szCs w:val="26"/>
        </w:rPr>
        <w:t>T-shaped professionals</w:t>
      </w:r>
      <w:r w:rsidRPr="001F6CB4">
        <w:rPr>
          <w:rFonts w:ascii="Times New Roman" w:hAnsi="Times New Roman" w:cs="Times New Roman"/>
          <w:sz w:val="26"/>
          <w:szCs w:val="26"/>
        </w:rPr>
        <w:t xml:space="preserve">, è stata preceduta dalle </w:t>
      </w:r>
      <w:r w:rsidRPr="001F6CB4">
        <w:rPr>
          <w:rFonts w:ascii="Times New Roman" w:hAnsi="Times New Roman" w:cs="Times New Roman"/>
          <w:i/>
          <w:sz w:val="26"/>
          <w:szCs w:val="26"/>
        </w:rPr>
        <w:t>T-shaped skills</w:t>
      </w:r>
      <w:r w:rsidRPr="001F6CB4">
        <w:rPr>
          <w:rFonts w:ascii="Times New Roman" w:hAnsi="Times New Roman" w:cs="Times New Roman"/>
          <w:sz w:val="26"/>
          <w:szCs w:val="26"/>
        </w:rPr>
        <w:t xml:space="preserve"> (competenze a forma di T).</w:t>
      </w:r>
    </w:p>
    <w:p w:rsidR="00A133F9" w:rsidRPr="001F6CB4" w:rsidRDefault="00A133F9" w:rsidP="00A133F9">
      <w:pPr>
        <w:spacing w:before="40" w:after="40"/>
        <w:ind w:left="1134" w:right="1134"/>
        <w:jc w:val="both"/>
        <w:rPr>
          <w:rFonts w:ascii="Times New Roman" w:hAnsi="Times New Roman" w:cs="Times New Roman"/>
          <w:sz w:val="26"/>
          <w:szCs w:val="26"/>
        </w:rPr>
      </w:pPr>
    </w:p>
    <w:p w:rsidR="00A133F9" w:rsidRPr="001F6CB4" w:rsidRDefault="00A133F9" w:rsidP="00A133F9">
      <w:pPr>
        <w:spacing w:before="40" w:after="40" w:line="360" w:lineRule="auto"/>
        <w:ind w:left="1134" w:right="1134"/>
        <w:jc w:val="both"/>
        <w:rPr>
          <w:rFonts w:ascii="Times New Roman" w:hAnsi="Times New Roman" w:cs="Times New Roman"/>
          <w:i/>
          <w:sz w:val="26"/>
          <w:szCs w:val="26"/>
        </w:rPr>
      </w:pPr>
      <w:r w:rsidRPr="001F6CB4">
        <w:rPr>
          <w:rFonts w:ascii="Times New Roman" w:hAnsi="Times New Roman" w:cs="Times New Roman"/>
          <w:sz w:val="26"/>
          <w:szCs w:val="26"/>
        </w:rPr>
        <w:t>Il rapporto Cambridge (IfM e IBM) del 2008</w:t>
      </w:r>
      <w:r w:rsidRPr="001F6CB4">
        <w:rPr>
          <w:rStyle w:val="Rimandonotaapidipagina"/>
          <w:rFonts w:ascii="Times New Roman" w:hAnsi="Times New Roman" w:cs="Times New Roman"/>
          <w:sz w:val="26"/>
          <w:szCs w:val="26"/>
        </w:rPr>
        <w:footnoteReference w:id="31"/>
      </w:r>
      <w:r w:rsidRPr="001F6CB4">
        <w:rPr>
          <w:rFonts w:ascii="Times New Roman" w:hAnsi="Times New Roman" w:cs="Times New Roman"/>
          <w:sz w:val="26"/>
          <w:szCs w:val="26"/>
        </w:rPr>
        <w:t xml:space="preserve"> lancia una sfida alle università per lo sviluppo delle competenze su descritte e quindi cerca di ottenere il sostegno da parte delle imprese e del governo. </w:t>
      </w:r>
      <w:r w:rsidRPr="001F6CB4">
        <w:rPr>
          <w:rFonts w:ascii="Times New Roman" w:hAnsi="Times New Roman" w:cs="Times New Roman"/>
          <w:i/>
          <w:sz w:val="26"/>
          <w:szCs w:val="26"/>
        </w:rPr>
        <w:t xml:space="preserve">“L’educazione basata sulla disciplina resta il compito vitale delle moderne università. Al fine di colmare il divario di competenze, tuttavia, le università dovrebbero anche offrire agli studenti l'opportunità di acquisire qualifiche rispetto alle necessità multidisciplinari della SSME e tali da poter interagire proficuamente con gli altri professionisti del settore. Tali qualifiche sarebbero fornite ai laureati attraverso le idee e il lessico utili per discutere di progettazione e miglioramento dei sistemi di servizio con i coetanei </w:t>
      </w:r>
      <w:r w:rsidRPr="001F6CB4">
        <w:rPr>
          <w:rFonts w:ascii="Times New Roman" w:hAnsi="Times New Roman" w:cs="Times New Roman"/>
          <w:i/>
          <w:sz w:val="26"/>
          <w:szCs w:val="26"/>
        </w:rPr>
        <w:lastRenderedPageBreak/>
        <w:t xml:space="preserve">competenti in altre discipline. Il settore si riferisce a queste persone come T-shaped professionals (professionisti a forma di T), che sono risolutori dei problemi più complessi (profondi) nella propria disciplina, ma anche in grado di interagire e comprendere specialisti di una vasta gamma di discipline e provenienti dalle più diverse aree funzionali. Programmi SSME ampiamente riconosciuti contribuirebbero a garantire la disponibilità di una vasta popolazione di professionisti a forma di T con la possibilità di collaborare per creare innovazioni di servizio. Qualifiche SSME indicherebbero che questi laureati sono in grado di comunicare con scienziati, ingegneri, manager, progettisti e molti altri professionisti facenti parte del sistema dei servizi (settore terziario). I laureati con qualifiche SSME sarebbero ben preparati a “partire in quarta”, cioè in grado di essere immediatamente produttivi e dare un contributo significativo quando si entra in un progetto di innovazione di servizio. Ottenere qualifiche SSME è un compito impegnativo. Lo sviluppo di corsi interdisciplinari richiede uno sforzo significativo perché diversi docenti potrebbero trovare difficoltà a lavorare insieme in modo sostenibile nel tempo. Le innovazioni educative sono vulnerabili perché spesso dipendono dagli sforzi di una o due persone. Programmi interdisciplinari sono ancora più difficili da organizzare, e più costosi da avviare e mantenere di quelli tradizionali. I rapidi progressi nella progettazione e offerta di questi programmi richiederebbe un sostegno e delle risorse da parte delle imprese e del governo”. </w:t>
      </w: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p>
    <w:p w:rsidR="00A133F9"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 xml:space="preserve">La relazione suggerisce che le </w:t>
      </w:r>
      <w:r>
        <w:rPr>
          <w:rFonts w:ascii="Times New Roman" w:hAnsi="Times New Roman" w:cs="Times New Roman"/>
          <w:sz w:val="26"/>
          <w:szCs w:val="26"/>
        </w:rPr>
        <w:t>basi per comprendere e muoversi fra le aree disciplinari dei</w:t>
      </w:r>
      <w:r w:rsidRPr="001F6CB4">
        <w:rPr>
          <w:rFonts w:ascii="Times New Roman" w:hAnsi="Times New Roman" w:cs="Times New Roman"/>
          <w:sz w:val="26"/>
          <w:szCs w:val="26"/>
        </w:rPr>
        <w:t xml:space="preserve"> sistemi di servizio possono essere tratte dalla conoscenza relativa a quattro gruppi di risorse. </w:t>
      </w:r>
      <w:r>
        <w:rPr>
          <w:rFonts w:ascii="Times New Roman" w:hAnsi="Times New Roman" w:cs="Times New Roman"/>
          <w:sz w:val="26"/>
          <w:szCs w:val="26"/>
        </w:rPr>
        <w:t>Le risorse utilizzate per creare</w:t>
      </w:r>
      <w:r w:rsidRPr="001F6CB4">
        <w:rPr>
          <w:rFonts w:ascii="Times New Roman" w:hAnsi="Times New Roman" w:cs="Times New Roman"/>
          <w:sz w:val="26"/>
          <w:szCs w:val="26"/>
        </w:rPr>
        <w:t xml:space="preserve"> sistemi di servizio offrono un punto di partenza utile per lo sviluppo della Service Science. Esse possono essere suddivise in quattro gruppi:</w:t>
      </w: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 xml:space="preserve">(1) </w:t>
      </w:r>
      <w:r>
        <w:rPr>
          <w:rFonts w:ascii="Times New Roman" w:hAnsi="Times New Roman" w:cs="Times New Roman"/>
          <w:sz w:val="26"/>
          <w:szCs w:val="26"/>
        </w:rPr>
        <w:t>Panorama</w:t>
      </w:r>
      <w:r w:rsidRPr="001F6CB4">
        <w:rPr>
          <w:rFonts w:ascii="Times New Roman" w:hAnsi="Times New Roman" w:cs="Times New Roman"/>
          <w:sz w:val="26"/>
          <w:szCs w:val="26"/>
        </w:rPr>
        <w:t xml:space="preserve"> </w:t>
      </w:r>
      <w:r>
        <w:rPr>
          <w:rFonts w:ascii="Times New Roman" w:hAnsi="Times New Roman" w:cs="Times New Roman"/>
          <w:sz w:val="26"/>
          <w:szCs w:val="26"/>
        </w:rPr>
        <w:t>del</w:t>
      </w:r>
      <w:r w:rsidRPr="001F6CB4">
        <w:rPr>
          <w:rFonts w:ascii="Times New Roman" w:hAnsi="Times New Roman" w:cs="Times New Roman"/>
          <w:sz w:val="26"/>
          <w:szCs w:val="26"/>
        </w:rPr>
        <w:t>le imprese e le organizzazioni: studiate principalmente dalle scuole management (marketing, direzione tecnica, le operazioni di ricerca e di gestione, gestione della supply chain, la gestione dell'innovazione);</w:t>
      </w: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(2) Tecnologia: studiata soprattutto dalle scuole di scienza e ingegneria (ingegneria industriale, informatica, teoria del controllo statistico);</w:t>
      </w: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(3) Persone: studiate principalmente dalle scuole di scienze sociali e umane (economia, scienze cognitive, scienze politiche, design, scienze umane e delle arti);</w:t>
      </w: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(4) Informazioni condivise: studiate soprattutto dalle scuole di informazione (comunicazione, sistemi informativi di gestione, ingegneria dei documenti, processo di modellazione, simulazione) [p. 8]</w:t>
      </w: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p>
    <w:p w:rsidR="00A133F9" w:rsidRDefault="00A133F9" w:rsidP="00A133F9">
      <w:pPr>
        <w:spacing w:before="40" w:after="40" w:line="360" w:lineRule="auto"/>
        <w:ind w:left="1134" w:right="1134"/>
        <w:jc w:val="both"/>
        <w:rPr>
          <w:rFonts w:ascii="Times New Roman" w:hAnsi="Times New Roman" w:cs="Times New Roman"/>
          <w:sz w:val="26"/>
          <w:szCs w:val="26"/>
        </w:rPr>
      </w:pPr>
      <w:r w:rsidRPr="001F6CB4">
        <w:rPr>
          <w:rFonts w:ascii="Times New Roman" w:hAnsi="Times New Roman" w:cs="Times New Roman"/>
          <w:sz w:val="26"/>
          <w:szCs w:val="26"/>
        </w:rPr>
        <w:t>La conoscenza dei sistemi di servizi beneficia di discipline accademiche che studiano alcuni o tutti e quattro gruppi di risorse. Forse le competenze di un professionista a forma di T - nell'epoca della scienza, dell’ingegneria e della gestione di sistemi di servizi - si possono trarre dalle due dimensioni di cui sopra. Conoscenza profonda in (almeno) una disciplina relativa a un sistema di servizio rappresentata dalla barra verticale del professionista a forma di T. Un</w:t>
      </w:r>
      <w:r>
        <w:rPr>
          <w:rFonts w:ascii="Times New Roman" w:hAnsi="Times New Roman" w:cs="Times New Roman"/>
          <w:sz w:val="26"/>
          <w:szCs w:val="26"/>
        </w:rPr>
        <w:t>a</w:t>
      </w:r>
      <w:r w:rsidRPr="001F6CB4">
        <w:rPr>
          <w:rFonts w:ascii="Times New Roman" w:hAnsi="Times New Roman" w:cs="Times New Roman"/>
          <w:sz w:val="26"/>
          <w:szCs w:val="26"/>
        </w:rPr>
        <w:t xml:space="preserve"> generale </w:t>
      </w:r>
      <w:r>
        <w:rPr>
          <w:rFonts w:ascii="Times New Roman" w:hAnsi="Times New Roman" w:cs="Times New Roman"/>
          <w:sz w:val="26"/>
          <w:szCs w:val="26"/>
        </w:rPr>
        <w:t>conoscenza</w:t>
      </w:r>
      <w:r w:rsidRPr="001F6CB4">
        <w:rPr>
          <w:rFonts w:ascii="Times New Roman" w:hAnsi="Times New Roman" w:cs="Times New Roman"/>
          <w:sz w:val="26"/>
          <w:szCs w:val="26"/>
        </w:rPr>
        <w:t xml:space="preserve"> delle quattro risorse di un sistema di servizi - le aziende intere e organizzazioni, tecnologia, le persone, e le informazioni condivise – rappresenta la barra trasversale di un professionista a forma di T. In pratica, c'è un sufficiente interesse da parte di universitari e laureati ad acquisire competenze in più di una disciplina. </w:t>
      </w:r>
    </w:p>
    <w:p w:rsidR="00A133F9" w:rsidRDefault="00A133F9" w:rsidP="00A133F9">
      <w:pPr>
        <w:spacing w:before="40" w:after="40" w:line="360" w:lineRule="auto"/>
        <w:ind w:left="1134" w:right="1134"/>
        <w:jc w:val="both"/>
        <w:rPr>
          <w:rFonts w:ascii="Times New Roman" w:hAnsi="Times New Roman" w:cs="Times New Roman"/>
          <w:sz w:val="26"/>
          <w:szCs w:val="26"/>
        </w:rPr>
      </w:pPr>
    </w:p>
    <w:p w:rsidR="00A133F9" w:rsidRPr="001F6CB4" w:rsidRDefault="00A133F9" w:rsidP="00A133F9">
      <w:pPr>
        <w:spacing w:before="40" w:after="40" w:line="360" w:lineRule="auto"/>
        <w:ind w:left="1134" w:right="1134"/>
        <w:jc w:val="both"/>
        <w:rPr>
          <w:rFonts w:ascii="Times New Roman" w:hAnsi="Times New Roman" w:cs="Times New Roman"/>
          <w:sz w:val="26"/>
          <w:szCs w:val="26"/>
        </w:rPr>
      </w:pPr>
      <w:r>
        <w:rPr>
          <w:rFonts w:ascii="Times New Roman" w:hAnsi="Times New Roman" w:cs="Times New Roman"/>
          <w:sz w:val="26"/>
          <w:szCs w:val="26"/>
        </w:rPr>
        <w:lastRenderedPageBreak/>
        <w:t xml:space="preserve">Il </w:t>
      </w:r>
      <w:r>
        <w:rPr>
          <w:rFonts w:ascii="Times New Roman" w:hAnsi="Times New Roman" w:cs="Times New Roman"/>
          <w:i/>
          <w:sz w:val="26"/>
          <w:szCs w:val="26"/>
        </w:rPr>
        <w:t>T-shaped professional</w:t>
      </w:r>
      <w:r>
        <w:rPr>
          <w:rFonts w:ascii="Times New Roman" w:hAnsi="Times New Roman" w:cs="Times New Roman"/>
          <w:sz w:val="26"/>
          <w:szCs w:val="26"/>
        </w:rPr>
        <w:t xml:space="preserve"> risultano essere le figure professionali più adatte a sostenere i nuovi paradigmi economici emergenti quali il crowdsourcing, </w:t>
      </w:r>
      <w:r>
        <w:rPr>
          <w:rFonts w:ascii="Times New Roman" w:hAnsi="Times New Roman" w:cs="Times New Roman"/>
          <w:color w:val="000000" w:themeColor="text1"/>
          <w:sz w:val="26"/>
          <w:szCs w:val="26"/>
        </w:rPr>
        <w:t>secondo il quale</w:t>
      </w:r>
      <w:r w:rsidRPr="00116659">
        <w:rPr>
          <w:rFonts w:ascii="Times New Roman" w:hAnsi="Times New Roman" w:cs="Times New Roman"/>
          <w:color w:val="000000" w:themeColor="text1"/>
          <w:sz w:val="26"/>
          <w:szCs w:val="26"/>
        </w:rPr>
        <w:t xml:space="preserve"> un’azienda o un’istituzione affida la progettazione, la realizzazione o lo sviluppo di un progetto, oggetto o idea a un insieme indefinito di persone </w:t>
      </w:r>
      <w:r>
        <w:rPr>
          <w:rFonts w:ascii="Times New Roman" w:hAnsi="Times New Roman" w:cs="Times New Roman"/>
          <w:color w:val="000000" w:themeColor="text1"/>
          <w:sz w:val="26"/>
          <w:szCs w:val="26"/>
        </w:rPr>
        <w:t xml:space="preserve">non organizzate precedentemente ognuna con competenze specifiche in una data disciplina, la cui finalità è la realizzazione del progetto proposto, in stretta collaborazione con professionisti provenienti da aree disciplinari completamente diverse dalla propria. </w:t>
      </w:r>
    </w:p>
    <w:p w:rsidR="001B5B09" w:rsidRDefault="001B5B09" w:rsidP="00A133F9">
      <w:bookmarkStart w:id="0" w:name="_GoBack"/>
      <w:bookmarkEnd w:id="0"/>
    </w:p>
    <w:sectPr w:rsidR="001B5B09" w:rsidSect="007255A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AFC" w:rsidRDefault="004E4AFC" w:rsidP="00A133F9">
      <w:pPr>
        <w:spacing w:after="0" w:line="240" w:lineRule="auto"/>
      </w:pPr>
      <w:r>
        <w:separator/>
      </w:r>
    </w:p>
  </w:endnote>
  <w:endnote w:type="continuationSeparator" w:id="0">
    <w:p w:rsidR="004E4AFC" w:rsidRDefault="004E4AFC" w:rsidP="00A133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AFC" w:rsidRDefault="004E4AFC" w:rsidP="00A133F9">
      <w:pPr>
        <w:spacing w:after="0" w:line="240" w:lineRule="auto"/>
      </w:pPr>
      <w:r>
        <w:separator/>
      </w:r>
    </w:p>
  </w:footnote>
  <w:footnote w:type="continuationSeparator" w:id="0">
    <w:p w:rsidR="004E4AFC" w:rsidRDefault="004E4AFC" w:rsidP="00A133F9">
      <w:pPr>
        <w:spacing w:after="0" w:line="240" w:lineRule="auto"/>
      </w:pPr>
      <w:r>
        <w:continuationSeparator/>
      </w:r>
    </w:p>
  </w:footnote>
  <w:footnote w:id="1">
    <w:p w:rsidR="00A133F9" w:rsidRPr="003C1A4B" w:rsidRDefault="00A133F9" w:rsidP="00A133F9">
      <w:pPr>
        <w:pStyle w:val="Testonotaapidipagina"/>
        <w:ind w:left="1134" w:right="1134"/>
        <w:jc w:val="both"/>
        <w:rPr>
          <w:lang w:val="en-US"/>
        </w:rPr>
      </w:pPr>
      <w:r>
        <w:rPr>
          <w:rStyle w:val="Rimandonotaapidipagina"/>
        </w:rPr>
        <w:footnoteRef/>
      </w:r>
      <w:r w:rsidRPr="003C1A4B">
        <w:rPr>
          <w:lang w:val="en-US"/>
        </w:rPr>
        <w:t xml:space="preserve"> I. F. Oskam (2009), T-shaped engineers for interdisciplinary innovation: an attractive perspective for young people as well as a must for innovative organisations, </w:t>
      </w:r>
      <w:r w:rsidRPr="00CE103E">
        <w:rPr>
          <w:i/>
          <w:lang w:val="en-US"/>
        </w:rPr>
        <w:t>Amsterdam: HvA publications</w:t>
      </w:r>
      <w:r>
        <w:rPr>
          <w:i/>
          <w:lang w:val="en-US"/>
        </w:rPr>
        <w:t>.</w:t>
      </w:r>
    </w:p>
  </w:footnote>
  <w:footnote w:id="2">
    <w:p w:rsidR="00A133F9" w:rsidRPr="00794786" w:rsidRDefault="00A133F9" w:rsidP="00A133F9">
      <w:pPr>
        <w:pStyle w:val="Testonotaapidipagina"/>
        <w:ind w:left="1134" w:right="1134"/>
        <w:jc w:val="both"/>
        <w:rPr>
          <w:lang w:val="en-US"/>
        </w:rPr>
      </w:pPr>
      <w:r>
        <w:rPr>
          <w:rStyle w:val="Rimandonotaapidipagina"/>
        </w:rPr>
        <w:footnoteRef/>
      </w:r>
      <w:r w:rsidRPr="00794786">
        <w:rPr>
          <w:lang w:val="en-US"/>
        </w:rPr>
        <w:t xml:space="preserve"> N. Donofrio, C. Sanchez, J. Spohrer (2008), Collaborative Innovation and Service Systems: Implications for Institutions and Disciplines, IBM, October 2008.</w:t>
      </w:r>
    </w:p>
  </w:footnote>
  <w:footnote w:id="3">
    <w:p w:rsidR="00A133F9" w:rsidRPr="005B533F" w:rsidRDefault="00A133F9" w:rsidP="00A133F9">
      <w:pPr>
        <w:pStyle w:val="Testonotaapidipagina"/>
        <w:ind w:left="1134" w:right="1134"/>
        <w:jc w:val="both"/>
        <w:rPr>
          <w:lang w:val="en-US"/>
        </w:rPr>
      </w:pPr>
      <w:r>
        <w:rPr>
          <w:rStyle w:val="Rimandonotaapidipagina"/>
        </w:rPr>
        <w:footnoteRef/>
      </w:r>
      <w:r w:rsidRPr="005B533F">
        <w:rPr>
          <w:lang w:val="en-US"/>
        </w:rPr>
        <w:t xml:space="preserve"> </w:t>
      </w:r>
      <w:r>
        <w:rPr>
          <w:lang w:val="en-US"/>
        </w:rPr>
        <w:t>H. Collins, R. Evans, M. Gorman (2007), Trading zones and internacional expertise. Studies in History and Philisophy of Science 39(1) [13 (8)].</w:t>
      </w:r>
    </w:p>
  </w:footnote>
  <w:footnote w:id="4">
    <w:p w:rsidR="00A133F9" w:rsidRPr="00AF1B7E" w:rsidRDefault="00A133F9" w:rsidP="00A133F9">
      <w:pPr>
        <w:pStyle w:val="Testonotaapidipagina"/>
        <w:ind w:left="1134" w:right="1134"/>
        <w:jc w:val="both"/>
        <w:rPr>
          <w:lang w:val="en-US"/>
        </w:rPr>
      </w:pPr>
      <w:r>
        <w:rPr>
          <w:rStyle w:val="Rimandonotaapidipagina"/>
        </w:rPr>
        <w:footnoteRef/>
      </w:r>
      <w:r w:rsidRPr="00AF1B7E">
        <w:rPr>
          <w:lang w:val="en-US"/>
        </w:rPr>
        <w:t xml:space="preserve"> </w:t>
      </w:r>
      <w:r>
        <w:rPr>
          <w:lang w:val="en-US"/>
        </w:rPr>
        <w:t xml:space="preserve">F. Levy, R. J. Murnane (2005), The New Division of Labor: How Companies Are Creating the Next Job Market. </w:t>
      </w:r>
      <w:r w:rsidRPr="00F8301B">
        <w:rPr>
          <w:i/>
          <w:lang w:val="en-US"/>
        </w:rPr>
        <w:t>Princeton University Press</w:t>
      </w:r>
      <w:r>
        <w:rPr>
          <w:lang w:val="en-US"/>
        </w:rPr>
        <w:t>, Princeton [3 (11)].</w:t>
      </w:r>
    </w:p>
  </w:footnote>
  <w:footnote w:id="5">
    <w:p w:rsidR="00A133F9" w:rsidRPr="005931A3" w:rsidRDefault="00A133F9" w:rsidP="00A133F9">
      <w:pPr>
        <w:pStyle w:val="Testonotaapidipagina"/>
        <w:ind w:left="1134" w:right="1134"/>
        <w:jc w:val="both"/>
        <w:rPr>
          <w:lang w:val="en-US"/>
        </w:rPr>
      </w:pPr>
      <w:r>
        <w:rPr>
          <w:rStyle w:val="Rimandonotaapidipagina"/>
        </w:rPr>
        <w:footnoteRef/>
      </w:r>
      <w:r w:rsidRPr="005931A3">
        <w:rPr>
          <w:lang w:val="en-US"/>
        </w:rPr>
        <w:t xml:space="preserve"> </w:t>
      </w:r>
      <w:r>
        <w:rPr>
          <w:lang w:val="en-US"/>
        </w:rPr>
        <w:t xml:space="preserve">IfM, IBM (2007), Succeding through Service Innovation: A Discussion Paper. University of Cambridge Institute for Manifacturing, </w:t>
      </w:r>
      <w:r w:rsidRPr="00ED1EAA">
        <w:rPr>
          <w:i/>
          <w:lang w:val="en-US"/>
        </w:rPr>
        <w:t>Cambridge</w:t>
      </w:r>
      <w:r>
        <w:rPr>
          <w:lang w:val="en-US"/>
        </w:rPr>
        <w:t xml:space="preserve"> [1 (14)].</w:t>
      </w:r>
    </w:p>
  </w:footnote>
  <w:footnote w:id="6">
    <w:p w:rsidR="00A133F9" w:rsidRPr="002108FC" w:rsidRDefault="00A133F9" w:rsidP="00A133F9">
      <w:pPr>
        <w:pStyle w:val="Testonotaapidipagina"/>
        <w:ind w:left="1134" w:right="1134"/>
        <w:jc w:val="both"/>
        <w:rPr>
          <w:lang w:val="en-US"/>
        </w:rPr>
      </w:pPr>
      <w:r>
        <w:rPr>
          <w:rStyle w:val="Rimandonotaapidipagina"/>
        </w:rPr>
        <w:footnoteRef/>
      </w:r>
      <w:r w:rsidRPr="002108FC">
        <w:rPr>
          <w:lang w:val="en-US"/>
        </w:rPr>
        <w:t xml:space="preserve"> D. Guest (1991), The hunt is on for the Renaissance Man of computing, </w:t>
      </w:r>
      <w:r w:rsidRPr="002108FC">
        <w:rPr>
          <w:i/>
          <w:lang w:val="en-US"/>
        </w:rPr>
        <w:t>The Independent</w:t>
      </w:r>
      <w:r>
        <w:rPr>
          <w:lang w:val="en-US"/>
        </w:rPr>
        <w:t>, London</w:t>
      </w:r>
      <w:r w:rsidRPr="002108FC">
        <w:rPr>
          <w:lang w:val="en-US"/>
        </w:rPr>
        <w:t>, September 17</w:t>
      </w:r>
      <w:r>
        <w:rPr>
          <w:lang w:val="en-US"/>
        </w:rPr>
        <w:t>.</w:t>
      </w:r>
    </w:p>
  </w:footnote>
  <w:footnote w:id="7">
    <w:p w:rsidR="00A133F9" w:rsidRPr="000D76D9" w:rsidRDefault="00A133F9" w:rsidP="00A133F9">
      <w:pPr>
        <w:pStyle w:val="Testonotaapidipagina"/>
        <w:ind w:left="1134" w:right="1134"/>
        <w:jc w:val="both"/>
        <w:rPr>
          <w:lang w:val="en-US"/>
        </w:rPr>
      </w:pPr>
      <w:r>
        <w:rPr>
          <w:rStyle w:val="Rimandonotaapidipagina"/>
        </w:rPr>
        <w:footnoteRef/>
      </w:r>
      <w:r>
        <w:rPr>
          <w:lang w:val="en-US"/>
        </w:rPr>
        <w:t xml:space="preserve"> C. Palmer (1990), ‘Hybrids’ - </w:t>
      </w:r>
      <w:r w:rsidRPr="000D76D9">
        <w:rPr>
          <w:lang w:val="en-US"/>
        </w:rPr>
        <w:t xml:space="preserve">a critical force in the applicaiton of information technology in the nineties, </w:t>
      </w:r>
      <w:r w:rsidRPr="000D76D9">
        <w:rPr>
          <w:i/>
          <w:lang w:val="en-US"/>
        </w:rPr>
        <w:t>Journal of Information Technology</w:t>
      </w:r>
      <w:r>
        <w:rPr>
          <w:lang w:val="en-US"/>
        </w:rPr>
        <w:t xml:space="preserve">, volume 5, p. 232. </w:t>
      </w:r>
    </w:p>
  </w:footnote>
  <w:footnote w:id="8">
    <w:p w:rsidR="00A133F9" w:rsidRPr="005D45B9" w:rsidRDefault="00A133F9" w:rsidP="00A133F9">
      <w:pPr>
        <w:pStyle w:val="Testonotaapidipagina"/>
        <w:ind w:left="1134" w:right="1134"/>
        <w:jc w:val="both"/>
        <w:rPr>
          <w:lang w:val="en-US"/>
        </w:rPr>
      </w:pPr>
      <w:r>
        <w:rPr>
          <w:rStyle w:val="Rimandonotaapidipagina"/>
        </w:rPr>
        <w:footnoteRef/>
      </w:r>
      <w:r w:rsidRPr="005D45B9">
        <w:rPr>
          <w:lang w:val="en-US"/>
        </w:rPr>
        <w:t xml:space="preserve"> C. Palmer, </w:t>
      </w:r>
      <w:r w:rsidRPr="005D45B9">
        <w:rPr>
          <w:i/>
          <w:lang w:val="en-US"/>
        </w:rPr>
        <w:t>ivi</w:t>
      </w:r>
      <w:r w:rsidRPr="005D45B9">
        <w:rPr>
          <w:lang w:val="en-US"/>
        </w:rPr>
        <w:t>.</w:t>
      </w:r>
    </w:p>
  </w:footnote>
  <w:footnote w:id="9">
    <w:p w:rsidR="00A133F9" w:rsidRPr="0062494A" w:rsidRDefault="00A133F9" w:rsidP="00A133F9">
      <w:pPr>
        <w:pStyle w:val="Testonotaapidipagina"/>
        <w:ind w:left="1134" w:right="1134"/>
        <w:jc w:val="both"/>
        <w:rPr>
          <w:lang w:val="en-US"/>
        </w:rPr>
      </w:pPr>
      <w:r>
        <w:rPr>
          <w:rStyle w:val="Rimandonotaapidipagina"/>
        </w:rPr>
        <w:footnoteRef/>
      </w:r>
      <w:r>
        <w:rPr>
          <w:lang w:val="en-US"/>
        </w:rPr>
        <w:t xml:space="preserve"> </w:t>
      </w:r>
      <w:r w:rsidRPr="0062494A">
        <w:rPr>
          <w:lang w:val="en-US"/>
        </w:rPr>
        <w:t xml:space="preserve">T. Kelley, J. Littman (2005), </w:t>
      </w:r>
      <w:r w:rsidRPr="0062494A">
        <w:rPr>
          <w:i/>
          <w:lang w:val="en-US"/>
        </w:rPr>
        <w:t>The ten faces of Innovation: IDEO’s strategies for defeating the devil’s advocate and driving creativity throughout your organization</w:t>
      </w:r>
      <w:r w:rsidRPr="0062494A">
        <w:rPr>
          <w:lang w:val="en-US"/>
        </w:rPr>
        <w:t>, New York: Currency/Doubleday (2005).</w:t>
      </w:r>
    </w:p>
  </w:footnote>
  <w:footnote w:id="10">
    <w:p w:rsidR="00A133F9" w:rsidRDefault="00A133F9" w:rsidP="00A133F9">
      <w:pPr>
        <w:pStyle w:val="Testonotaapidipagina"/>
        <w:ind w:left="1134" w:right="1134"/>
        <w:jc w:val="both"/>
      </w:pPr>
      <w:r>
        <w:rPr>
          <w:rStyle w:val="Rimandonotaapidipagina"/>
        </w:rPr>
        <w:footnoteRef/>
      </w:r>
      <w:r>
        <w:t xml:space="preserve"> Agenzia americana di design, </w:t>
      </w:r>
      <w:r w:rsidRPr="00C01A0E">
        <w:t>leader nel mondo</w:t>
      </w:r>
      <w:r>
        <w:t>. D</w:t>
      </w:r>
      <w:r w:rsidRPr="00C01A0E">
        <w:t>a sempre considerata una delle azi</w:t>
      </w:r>
      <w:r>
        <w:t xml:space="preserve">ende più innovative esistenti anche </w:t>
      </w:r>
      <w:r w:rsidRPr="00C01A0E">
        <w:t xml:space="preserve">per il </w:t>
      </w:r>
      <w:r>
        <w:t>suo metodo di innovazione basato</w:t>
      </w:r>
      <w:r w:rsidRPr="00C01A0E">
        <w:t xml:space="preserve"> su intenso lavoro progettuale interdisciplinare. Per ottenere ciò, l'azienda ha a lungo praticato l'arte della collaborazione e lo sviluppo di un certo tipo di talenti: le T-shaped people (persone a forma di T).</w:t>
      </w:r>
    </w:p>
  </w:footnote>
  <w:footnote w:id="11">
    <w:p w:rsidR="00A133F9" w:rsidRPr="001148E9" w:rsidRDefault="00A133F9" w:rsidP="00A133F9">
      <w:pPr>
        <w:pStyle w:val="Testonotaapidipagina"/>
        <w:ind w:left="1134" w:right="1134"/>
        <w:jc w:val="both"/>
        <w:rPr>
          <w:lang w:val="en-US"/>
        </w:rPr>
      </w:pPr>
      <w:r>
        <w:rPr>
          <w:rStyle w:val="Rimandonotaapidipagina"/>
        </w:rPr>
        <w:footnoteRef/>
      </w:r>
      <w:r w:rsidRPr="001148E9">
        <w:rPr>
          <w:lang w:val="en-US"/>
        </w:rPr>
        <w:t xml:space="preserve"> M. T. Hansen (2011), IDEO CEO Tim Brown: T-Shaped Stars: The Backbone of IDEO’s Collabo</w:t>
      </w:r>
      <w:r>
        <w:rPr>
          <w:lang w:val="en-US"/>
        </w:rPr>
        <w:t xml:space="preserve">rative Culture, </w:t>
      </w:r>
      <w:r w:rsidRPr="001148E9">
        <w:rPr>
          <w:lang w:val="en-US"/>
        </w:rPr>
        <w:t>w</w:t>
      </w:r>
      <w:r>
        <w:rPr>
          <w:lang w:val="en-US"/>
        </w:rPr>
        <w:t>ww.chiefexecutive.net.</w:t>
      </w:r>
    </w:p>
  </w:footnote>
  <w:footnote w:id="12">
    <w:p w:rsidR="00A133F9" w:rsidRPr="00DB01D5" w:rsidRDefault="00A133F9" w:rsidP="00A133F9">
      <w:pPr>
        <w:pStyle w:val="Testonotaapidipagina"/>
        <w:ind w:left="1134" w:right="1134"/>
        <w:jc w:val="both"/>
        <w:rPr>
          <w:lang w:val="en-US"/>
        </w:rPr>
      </w:pPr>
      <w:r>
        <w:rPr>
          <w:rStyle w:val="Rimandonotaapidipagina"/>
        </w:rPr>
        <w:footnoteRef/>
      </w:r>
      <w:r w:rsidRPr="00DB01D5">
        <w:rPr>
          <w:lang w:val="en-US"/>
        </w:rPr>
        <w:t xml:space="preserve"> </w:t>
      </w:r>
      <w:r w:rsidRPr="00DB01D5">
        <w:rPr>
          <w:i/>
          <w:lang w:val="en-US"/>
        </w:rPr>
        <w:t>Ibidem</w:t>
      </w:r>
      <w:r w:rsidRPr="00DB01D5">
        <w:rPr>
          <w:lang w:val="en-US"/>
        </w:rPr>
        <w:t>.</w:t>
      </w:r>
    </w:p>
  </w:footnote>
  <w:footnote w:id="13">
    <w:p w:rsidR="00A133F9" w:rsidRPr="0069781E" w:rsidRDefault="00A133F9" w:rsidP="00A133F9">
      <w:pPr>
        <w:pStyle w:val="Testonotaapidipagina"/>
        <w:ind w:left="1134" w:right="1134"/>
        <w:jc w:val="both"/>
        <w:rPr>
          <w:lang w:val="en-US"/>
        </w:rPr>
      </w:pPr>
      <w:r>
        <w:rPr>
          <w:rStyle w:val="Rimandonotaapidipagina"/>
        </w:rPr>
        <w:footnoteRef/>
      </w:r>
      <w:r w:rsidRPr="0069781E">
        <w:rPr>
          <w:lang w:val="en-US"/>
        </w:rPr>
        <w:t xml:space="preserve"> D. Leonard-Barton (1995), Wellsprings of Knowledge: Building and Sustaining the Sources of Innovation</w:t>
      </w:r>
      <w:r>
        <w:rPr>
          <w:lang w:val="en-US"/>
        </w:rPr>
        <w:t xml:space="preserve">, </w:t>
      </w:r>
      <w:r w:rsidRPr="00B222C5">
        <w:rPr>
          <w:i/>
          <w:lang w:val="en-US"/>
        </w:rPr>
        <w:t>Harvard Business School Press</w:t>
      </w:r>
      <w:r>
        <w:rPr>
          <w:lang w:val="en-US"/>
        </w:rPr>
        <w:t>.</w:t>
      </w:r>
    </w:p>
  </w:footnote>
  <w:footnote w:id="14">
    <w:p w:rsidR="00A133F9" w:rsidRDefault="00A133F9" w:rsidP="00A133F9">
      <w:pPr>
        <w:pStyle w:val="Testonotaapidipagina"/>
        <w:ind w:left="1134" w:right="1134"/>
        <w:jc w:val="both"/>
      </w:pPr>
      <w:r>
        <w:rPr>
          <w:rStyle w:val="Rimandonotaapidipagina"/>
        </w:rPr>
        <w:footnoteRef/>
      </w:r>
      <w:r>
        <w:t xml:space="preserve"> Il termine H-shaped viene utilizzato di norma anche per riferirsi a professionisti ibridi. Molti informatici applicati sono</w:t>
      </w:r>
    </w:p>
    <w:p w:rsidR="00A133F9" w:rsidRDefault="00A133F9" w:rsidP="00A133F9">
      <w:pPr>
        <w:pStyle w:val="Testonotaapidipagina"/>
        <w:ind w:left="1134" w:right="1134"/>
        <w:jc w:val="both"/>
      </w:pPr>
      <w:r>
        <w:t>H-shaped, hanno una profonda conoscenza di informatica, così come di qualche dominio applicativo, ad esempio la meteorologia, fisica, o un'altra area in cui costruire simulazioni o software applicativi per eseguire la ricerca. Se una persona ha una profonda conoscenza in due aree, e ha anche una buona capacità di portare avanti un complesso scambio di informazioni fra diverse discipline, allora essa sarà denominata Pi-shaped. Un giornalista professionista è il tipico T-shaped, ha una profonda conoscenza delle teorie della comunicazione così come è un comunicatore versatile in molte aree tematiche. Durante i master in scienze professionali gli studenti tendono ad essere plasmati</w:t>
      </w:r>
    </w:p>
    <w:p w:rsidR="00A133F9" w:rsidRDefault="00A133F9" w:rsidP="00A133F9">
      <w:pPr>
        <w:pStyle w:val="Testonotaapidipagina"/>
        <w:ind w:left="1134" w:right="1134"/>
        <w:jc w:val="both"/>
      </w:pPr>
      <w:r>
        <w:t>con la profondità in un settore della scienza, così come con ampie capacità di comunicazione attraverso molti</w:t>
      </w:r>
    </w:p>
    <w:p w:rsidR="00A133F9" w:rsidRPr="00DB01D5" w:rsidRDefault="00A133F9" w:rsidP="00A133F9">
      <w:pPr>
        <w:pStyle w:val="Testonotaapidipagina"/>
        <w:ind w:left="1134" w:right="1134"/>
        <w:jc w:val="both"/>
        <w:rPr>
          <w:lang w:val="en-US"/>
        </w:rPr>
      </w:pPr>
      <w:r w:rsidRPr="00DB01D5">
        <w:rPr>
          <w:lang w:val="en-US"/>
        </w:rPr>
        <w:t>funzioni aziendali.</w:t>
      </w:r>
    </w:p>
  </w:footnote>
  <w:footnote w:id="15">
    <w:p w:rsidR="00A133F9" w:rsidRPr="004F4DF9" w:rsidRDefault="00A133F9" w:rsidP="00A133F9">
      <w:pPr>
        <w:pStyle w:val="Testonotaapidipagina"/>
        <w:ind w:left="1134" w:right="1134"/>
        <w:jc w:val="both"/>
        <w:rPr>
          <w:lang w:val="en-US"/>
        </w:rPr>
      </w:pPr>
      <w:r>
        <w:rPr>
          <w:rStyle w:val="Rimandonotaapidipagina"/>
        </w:rPr>
        <w:footnoteRef/>
      </w:r>
      <w:r w:rsidRPr="004F4DF9">
        <w:rPr>
          <w:lang w:val="en-US"/>
        </w:rPr>
        <w:t xml:space="preserve"> N. Donofrio, C. Sanchez, J. Spohrer (2008), </w:t>
      </w:r>
      <w:r w:rsidRPr="004F4DF9">
        <w:rPr>
          <w:i/>
          <w:lang w:val="en-US"/>
        </w:rPr>
        <w:t>Collaborative Innovation and Service Systems: Implications for Institutions and Disciplines</w:t>
      </w:r>
      <w:r w:rsidRPr="004F4DF9">
        <w:rPr>
          <w:lang w:val="en-US"/>
        </w:rPr>
        <w:t>, in Holistic Engineering, Dom Grasso, October 2008</w:t>
      </w:r>
      <w:r>
        <w:rPr>
          <w:lang w:val="en-US"/>
        </w:rPr>
        <w:t>, p. 17.</w:t>
      </w:r>
    </w:p>
  </w:footnote>
  <w:footnote w:id="16">
    <w:p w:rsidR="00A133F9" w:rsidRDefault="00A133F9" w:rsidP="00A133F9">
      <w:pPr>
        <w:pStyle w:val="Testonotaapidipagina"/>
        <w:ind w:left="1134" w:right="1134"/>
        <w:jc w:val="both"/>
      </w:pPr>
      <w:r>
        <w:rPr>
          <w:rStyle w:val="Rimandonotaapidipagina"/>
        </w:rPr>
        <w:footnoteRef/>
      </w:r>
      <w:r>
        <w:t xml:space="preserve"> N. Donofrio, C. Sanchez, J. Spohrer (2008), </w:t>
      </w:r>
      <w:r w:rsidRPr="00C26BFB">
        <w:rPr>
          <w:i/>
        </w:rPr>
        <w:t>op. cit.</w:t>
      </w:r>
      <w:r>
        <w:t xml:space="preserve"> p. 18.</w:t>
      </w:r>
    </w:p>
  </w:footnote>
  <w:footnote w:id="17">
    <w:p w:rsidR="00A133F9" w:rsidRPr="00C26BFB" w:rsidRDefault="00A133F9" w:rsidP="00A133F9">
      <w:pPr>
        <w:pStyle w:val="Testonotaapidipagina"/>
        <w:ind w:left="1134" w:right="1134"/>
        <w:jc w:val="both"/>
        <w:rPr>
          <w:lang w:val="en-US"/>
        </w:rPr>
      </w:pPr>
      <w:r>
        <w:rPr>
          <w:rStyle w:val="Rimandonotaapidipagina"/>
        </w:rPr>
        <w:footnoteRef/>
      </w:r>
      <w:r w:rsidRPr="00C26BFB">
        <w:rPr>
          <w:lang w:val="en-US"/>
        </w:rPr>
        <w:t xml:space="preserve"> F. Levy, R.J. Murnane (2004) The New Division of Labor: How Computers </w:t>
      </w:r>
      <w:r>
        <w:rPr>
          <w:lang w:val="en-US"/>
        </w:rPr>
        <w:t xml:space="preserve">Are Creating the Next Job Market, </w:t>
      </w:r>
      <w:r w:rsidRPr="00C26BFB">
        <w:rPr>
          <w:i/>
          <w:lang w:val="en-US"/>
        </w:rPr>
        <w:t>Princeton University Press</w:t>
      </w:r>
      <w:r>
        <w:rPr>
          <w:lang w:val="en-US"/>
        </w:rPr>
        <w:t>,</w:t>
      </w:r>
      <w:r w:rsidRPr="00C26BFB">
        <w:rPr>
          <w:lang w:val="en-US"/>
        </w:rPr>
        <w:t xml:space="preserve"> Princeton, NJ.</w:t>
      </w:r>
    </w:p>
  </w:footnote>
  <w:footnote w:id="18">
    <w:p w:rsidR="00A133F9" w:rsidRPr="00C26BFB" w:rsidRDefault="00A133F9" w:rsidP="00A133F9">
      <w:pPr>
        <w:pStyle w:val="Testonotaapidipagina"/>
        <w:ind w:left="1134" w:right="1134"/>
        <w:jc w:val="both"/>
        <w:rPr>
          <w:lang w:val="en-US"/>
        </w:rPr>
      </w:pPr>
      <w:r>
        <w:rPr>
          <w:rStyle w:val="Rimandonotaapidipagina"/>
        </w:rPr>
        <w:footnoteRef/>
      </w:r>
      <w:r w:rsidRPr="00C26BFB">
        <w:rPr>
          <w:lang w:val="en-US"/>
        </w:rPr>
        <w:t xml:space="preserve"> M. Cataldo, K. Carley, L. Argote (2001), The Effect of Personnel Selection Schemes on, Knowledge Transfer. (URL:</w:t>
      </w:r>
    </w:p>
    <w:p w:rsidR="00A133F9" w:rsidRPr="00DB01D5" w:rsidRDefault="00A133F9" w:rsidP="00A133F9">
      <w:pPr>
        <w:pStyle w:val="Testonotaapidipagina"/>
        <w:ind w:left="1134" w:right="1134"/>
        <w:jc w:val="both"/>
        <w:rPr>
          <w:lang w:val="en-US"/>
        </w:rPr>
      </w:pPr>
      <w:r w:rsidRPr="00DB01D5">
        <w:rPr>
          <w:lang w:val="en-US"/>
        </w:rPr>
        <w:t>http://www.casos.cs.cmu.edu/publications/papers/marcelo_paper.pdf).</w:t>
      </w:r>
    </w:p>
  </w:footnote>
  <w:footnote w:id="19">
    <w:p w:rsidR="00A133F9" w:rsidRDefault="00A133F9" w:rsidP="00A133F9">
      <w:pPr>
        <w:pStyle w:val="Testonotaapidipagina"/>
        <w:ind w:left="1134" w:right="1134"/>
        <w:jc w:val="both"/>
      </w:pPr>
      <w:r>
        <w:rPr>
          <w:rStyle w:val="Rimandonotaapidipagina"/>
        </w:rPr>
        <w:footnoteRef/>
      </w:r>
      <w:r>
        <w:t xml:space="preserve"> </w:t>
      </w:r>
      <w:r w:rsidRPr="006B5937">
        <w:t>N. Donofrio</w:t>
      </w:r>
      <w:r>
        <w:t xml:space="preserve">, C. Sanchez, J. Spohrer (2008), </w:t>
      </w:r>
      <w:r w:rsidRPr="006B5937">
        <w:rPr>
          <w:i/>
        </w:rPr>
        <w:t>op. cit.</w:t>
      </w:r>
      <w:r>
        <w:t xml:space="preserve"> p. 25.</w:t>
      </w:r>
    </w:p>
  </w:footnote>
  <w:footnote w:id="20">
    <w:p w:rsidR="00A133F9" w:rsidRPr="00B32E8F" w:rsidRDefault="00A133F9" w:rsidP="00A133F9">
      <w:pPr>
        <w:pStyle w:val="Testonotaapidipagina"/>
        <w:ind w:left="1134" w:right="1134"/>
        <w:jc w:val="both"/>
        <w:rPr>
          <w:lang w:val="en-US"/>
        </w:rPr>
      </w:pPr>
      <w:r>
        <w:rPr>
          <w:rStyle w:val="Rimandonotaapidipagina"/>
        </w:rPr>
        <w:footnoteRef/>
      </w:r>
      <w:r w:rsidRPr="00B32E8F">
        <w:rPr>
          <w:lang w:val="en-US"/>
        </w:rPr>
        <w:t xml:space="preserve"> H. Lee, B. Choi (2003), Knowledge Management Enablers, Processes, and Organizational Performance: An Integrative View and Empirical Examination, Journal of Management Information Systems, Volume 20 Issue 1, Number 1/Summer 2003, p. 1.</w:t>
      </w:r>
    </w:p>
  </w:footnote>
  <w:footnote w:id="21">
    <w:p w:rsidR="00A133F9" w:rsidRPr="00B32E8F" w:rsidRDefault="00A133F9" w:rsidP="00A133F9">
      <w:pPr>
        <w:pStyle w:val="Testonotaapidipagina"/>
        <w:ind w:left="1134" w:right="1134"/>
        <w:jc w:val="both"/>
        <w:rPr>
          <w:i/>
          <w:lang w:val="en-US"/>
        </w:rPr>
      </w:pPr>
      <w:r>
        <w:rPr>
          <w:rStyle w:val="Rimandonotaapidipagina"/>
        </w:rPr>
        <w:footnoteRef/>
      </w:r>
      <w:r w:rsidRPr="00B32E8F">
        <w:rPr>
          <w:lang w:val="en-US"/>
        </w:rPr>
        <w:t xml:space="preserve"> D. Leonard-Barton (1995), </w:t>
      </w:r>
      <w:r w:rsidRPr="00B32E8F">
        <w:rPr>
          <w:i/>
          <w:lang w:val="en-US"/>
        </w:rPr>
        <w:t>op. cit. ivi.</w:t>
      </w:r>
    </w:p>
  </w:footnote>
  <w:footnote w:id="22">
    <w:p w:rsidR="00A133F9" w:rsidRPr="009B074B" w:rsidRDefault="00A133F9" w:rsidP="00A133F9">
      <w:pPr>
        <w:pStyle w:val="Testonotaapidipagina"/>
        <w:ind w:left="1134" w:right="1134"/>
        <w:jc w:val="both"/>
        <w:rPr>
          <w:lang w:val="en-US"/>
        </w:rPr>
      </w:pPr>
      <w:r>
        <w:rPr>
          <w:rStyle w:val="Rimandonotaapidipagina"/>
        </w:rPr>
        <w:footnoteRef/>
      </w:r>
      <w:r w:rsidRPr="00B32E8F">
        <w:rPr>
          <w:lang w:val="en-US"/>
        </w:rPr>
        <w:t xml:space="preserve"> R. Madhavan, R. Grover (1998), From embedded knowledge to embodied knowledge: new product deve</w:t>
      </w:r>
      <w:r>
        <w:rPr>
          <w:lang w:val="en-US"/>
        </w:rPr>
        <w:t>lopment as knowledge management,</w:t>
      </w:r>
      <w:r w:rsidRPr="00B32E8F">
        <w:rPr>
          <w:lang w:val="en-US"/>
        </w:rPr>
        <w:t xml:space="preserve"> </w:t>
      </w:r>
      <w:r w:rsidRPr="009B074B">
        <w:rPr>
          <w:i/>
          <w:lang w:val="en-US"/>
        </w:rPr>
        <w:t>Journal of Marketing</w:t>
      </w:r>
      <w:r w:rsidRPr="009B074B">
        <w:rPr>
          <w:lang w:val="en-US"/>
        </w:rPr>
        <w:t>, 62, 4.</w:t>
      </w:r>
    </w:p>
  </w:footnote>
  <w:footnote w:id="23">
    <w:p w:rsidR="00A133F9" w:rsidRPr="004F6F80" w:rsidRDefault="00A133F9" w:rsidP="00A133F9">
      <w:pPr>
        <w:pStyle w:val="Testonotaapidipagina"/>
        <w:ind w:left="1134" w:right="1134"/>
        <w:jc w:val="both"/>
        <w:rPr>
          <w:lang w:val="en-US"/>
        </w:rPr>
      </w:pPr>
      <w:r>
        <w:rPr>
          <w:rStyle w:val="Rimandonotaapidipagina"/>
        </w:rPr>
        <w:footnoteRef/>
      </w:r>
      <w:r w:rsidRPr="009B074B">
        <w:rPr>
          <w:lang w:val="en-US"/>
        </w:rPr>
        <w:t xml:space="preserve"> J-A. Johannenssen, B. Olsen, J. Olaisen (1999), Aspect</w:t>
      </w:r>
      <w:r>
        <w:rPr>
          <w:lang w:val="en-US"/>
        </w:rPr>
        <w:t xml:space="preserve">s of innovation theory based on </w:t>
      </w:r>
      <w:r w:rsidRPr="009B074B">
        <w:rPr>
          <w:lang w:val="en-US"/>
        </w:rPr>
        <w:t xml:space="preserve">knowledge management. International Journal of Information Management, 19, 2 (1999) p. 121-139. </w:t>
      </w:r>
      <w:r w:rsidRPr="002A707E">
        <w:rPr>
          <w:lang w:val="en-US"/>
        </w:rPr>
        <w:t xml:space="preserve">| D. Leonard-Barton (1995), </w:t>
      </w:r>
      <w:r w:rsidRPr="002A707E">
        <w:rPr>
          <w:i/>
          <w:lang w:val="en-US"/>
        </w:rPr>
        <w:t>op. cit.</w:t>
      </w:r>
      <w:r w:rsidRPr="002A707E">
        <w:rPr>
          <w:lang w:val="en-US"/>
        </w:rPr>
        <w:t xml:space="preserve"> </w:t>
      </w:r>
      <w:r w:rsidRPr="004F6F80">
        <w:rPr>
          <w:lang w:val="en-US"/>
        </w:rPr>
        <w:t xml:space="preserve">| R. Madhavan, R. Grover (1998), </w:t>
      </w:r>
      <w:r w:rsidRPr="004F6F80">
        <w:rPr>
          <w:i/>
          <w:lang w:val="en-US"/>
        </w:rPr>
        <w:t>op. cit</w:t>
      </w:r>
      <w:r w:rsidRPr="004F6F80">
        <w:rPr>
          <w:lang w:val="en-US"/>
        </w:rPr>
        <w:t xml:space="preserve">. | </w:t>
      </w:r>
    </w:p>
  </w:footnote>
  <w:footnote w:id="24">
    <w:p w:rsidR="00A133F9" w:rsidRPr="005D45B9" w:rsidRDefault="00A133F9" w:rsidP="00A133F9">
      <w:pPr>
        <w:pStyle w:val="Testonotaapidipagina"/>
        <w:ind w:left="1134" w:right="1134"/>
        <w:jc w:val="both"/>
        <w:rPr>
          <w:lang w:val="en-US"/>
        </w:rPr>
      </w:pPr>
      <w:r>
        <w:rPr>
          <w:rStyle w:val="Rimandonotaapidipagina"/>
        </w:rPr>
        <w:footnoteRef/>
      </w:r>
      <w:r w:rsidRPr="005D45B9">
        <w:rPr>
          <w:lang w:val="en-US"/>
        </w:rPr>
        <w:t xml:space="preserve"> H. Lee, B. Choi (2003), </w:t>
      </w:r>
      <w:r w:rsidRPr="005D45B9">
        <w:rPr>
          <w:i/>
          <w:lang w:val="en-US"/>
        </w:rPr>
        <w:t>op. cit.</w:t>
      </w:r>
      <w:r w:rsidRPr="005D45B9">
        <w:rPr>
          <w:lang w:val="en-US"/>
        </w:rPr>
        <w:t xml:space="preserve"> p. 36.</w:t>
      </w:r>
    </w:p>
  </w:footnote>
  <w:footnote w:id="25">
    <w:p w:rsidR="00A133F9" w:rsidRPr="00D8755E" w:rsidRDefault="00A133F9" w:rsidP="00A133F9">
      <w:pPr>
        <w:pStyle w:val="Testonotaapidipagina"/>
        <w:ind w:left="1134" w:right="1134"/>
        <w:jc w:val="both"/>
        <w:rPr>
          <w:lang w:val="en-US"/>
        </w:rPr>
      </w:pPr>
      <w:r>
        <w:rPr>
          <w:rStyle w:val="Rimandonotaapidipagina"/>
        </w:rPr>
        <w:footnoteRef/>
      </w:r>
      <w:r w:rsidRPr="00D8755E">
        <w:rPr>
          <w:lang w:val="en-US"/>
        </w:rPr>
        <w:t xml:space="preserve"> T. M. Shaft, I Vessey (1998), The relevance of application d</w:t>
      </w:r>
      <w:r>
        <w:rPr>
          <w:lang w:val="en-US"/>
        </w:rPr>
        <w:t xml:space="preserve">omain knowledge: Characterizing </w:t>
      </w:r>
      <w:r w:rsidRPr="00D8755E">
        <w:rPr>
          <w:lang w:val="en-US"/>
        </w:rPr>
        <w:t>the compute</w:t>
      </w:r>
      <w:r>
        <w:rPr>
          <w:lang w:val="en-US"/>
        </w:rPr>
        <w:t>r program comprehension process,</w:t>
      </w:r>
      <w:r w:rsidRPr="00D8755E">
        <w:rPr>
          <w:lang w:val="en-US"/>
        </w:rPr>
        <w:t xml:space="preserve"> </w:t>
      </w:r>
      <w:r w:rsidRPr="00D8755E">
        <w:rPr>
          <w:i/>
          <w:lang w:val="en-US"/>
        </w:rPr>
        <w:t>Journal of Management Information System</w:t>
      </w:r>
      <w:r>
        <w:rPr>
          <w:lang w:val="en-US"/>
        </w:rPr>
        <w:t>,</w:t>
      </w:r>
      <w:r w:rsidRPr="00D8755E">
        <w:rPr>
          <w:lang w:val="en-US"/>
        </w:rPr>
        <w:t xml:space="preserve"> </w:t>
      </w:r>
      <w:r>
        <w:rPr>
          <w:lang w:val="en-US"/>
        </w:rPr>
        <w:t xml:space="preserve">s, 15, ] (Summer 1998), p. </w:t>
      </w:r>
      <w:r w:rsidRPr="00D8755E">
        <w:rPr>
          <w:lang w:val="en-US"/>
        </w:rPr>
        <w:t>51-78.</w:t>
      </w:r>
    </w:p>
  </w:footnote>
  <w:footnote w:id="26">
    <w:p w:rsidR="00A133F9" w:rsidRPr="00D8755E" w:rsidRDefault="00A133F9" w:rsidP="00A133F9">
      <w:pPr>
        <w:pStyle w:val="Testonotaapidipagina"/>
        <w:ind w:left="1134" w:right="1134"/>
        <w:jc w:val="both"/>
        <w:rPr>
          <w:lang w:val="en-US"/>
        </w:rPr>
      </w:pPr>
      <w:r>
        <w:rPr>
          <w:rStyle w:val="Rimandonotaapidipagina"/>
        </w:rPr>
        <w:footnoteRef/>
      </w:r>
      <w:r w:rsidRPr="00D8755E">
        <w:rPr>
          <w:lang w:val="en-US"/>
        </w:rPr>
        <w:t xml:space="preserve"> G. Szuianski (1996), Exploring internal stickiness: Impediments t</w:t>
      </w:r>
      <w:r>
        <w:rPr>
          <w:lang w:val="en-US"/>
        </w:rPr>
        <w:t xml:space="preserve">o the transfer of best practice </w:t>
      </w:r>
      <w:r w:rsidRPr="00D8755E">
        <w:rPr>
          <w:lang w:val="en-US"/>
        </w:rPr>
        <w:t xml:space="preserve">within the finn, </w:t>
      </w:r>
      <w:r w:rsidRPr="00D8755E">
        <w:rPr>
          <w:i/>
          <w:lang w:val="en-US"/>
        </w:rPr>
        <w:t>Strategic Management Journal</w:t>
      </w:r>
      <w:r w:rsidRPr="00D8755E">
        <w:rPr>
          <w:lang w:val="en-US"/>
        </w:rPr>
        <w:t>, 17, 10 (Winter 1996).</w:t>
      </w:r>
    </w:p>
  </w:footnote>
  <w:footnote w:id="27">
    <w:p w:rsidR="00A133F9" w:rsidRPr="00D8755E" w:rsidRDefault="00A133F9" w:rsidP="005954DA">
      <w:pPr>
        <w:pStyle w:val="Testonotaapidipagina"/>
        <w:ind w:left="1134" w:right="1134"/>
        <w:jc w:val="both"/>
        <w:rPr>
          <w:lang w:val="en-US"/>
        </w:rPr>
      </w:pPr>
      <w:r>
        <w:rPr>
          <w:rStyle w:val="Rimandonotaapidipagina"/>
        </w:rPr>
        <w:footnoteRef/>
      </w:r>
      <w:r w:rsidRPr="00D8755E">
        <w:rPr>
          <w:lang w:val="en-US"/>
        </w:rPr>
        <w:t xml:space="preserve"> C. W. Holsapple, M. Singh (2000), Electronic commerce: From a definitional taxonomy towa</w:t>
      </w:r>
      <w:r>
        <w:rPr>
          <w:lang w:val="en-US"/>
        </w:rPr>
        <w:t xml:space="preserve">rd a knowledge-management view, </w:t>
      </w:r>
      <w:r w:rsidRPr="00D8755E">
        <w:rPr>
          <w:i/>
          <w:lang w:val="en-US"/>
        </w:rPr>
        <w:t>Journal of Organizational Computing and Electronic Commerce</w:t>
      </w:r>
      <w:r w:rsidRPr="00D8755E">
        <w:rPr>
          <w:lang w:val="en-US"/>
        </w:rPr>
        <w:t>, HI 3 (2000).</w:t>
      </w:r>
    </w:p>
  </w:footnote>
  <w:footnote w:id="28">
    <w:p w:rsidR="005954DA" w:rsidRPr="005954DA" w:rsidRDefault="005954DA" w:rsidP="005954DA">
      <w:pPr>
        <w:spacing w:before="40" w:after="40"/>
        <w:ind w:left="1134" w:right="1134"/>
        <w:jc w:val="both"/>
        <w:rPr>
          <w:sz w:val="20"/>
          <w:szCs w:val="20"/>
        </w:rPr>
      </w:pPr>
      <w:r>
        <w:rPr>
          <w:rStyle w:val="Rimandonotaapidipagina"/>
        </w:rPr>
        <w:footnoteRef/>
      </w:r>
      <w:r>
        <w:t xml:space="preserve"> </w:t>
      </w:r>
      <w:r w:rsidRPr="005954DA">
        <w:rPr>
          <w:sz w:val="20"/>
          <w:szCs w:val="20"/>
        </w:rPr>
        <w:t xml:space="preserve">J. Spohrer, P. Piciocchi, C. Bassano (2011), </w:t>
      </w:r>
      <w:r w:rsidRPr="005954DA">
        <w:rPr>
          <w:i/>
          <w:sz w:val="20"/>
          <w:szCs w:val="20"/>
        </w:rPr>
        <w:t>Three frameworks for service research: exploring multilevel governance in nested, networked systems</w:t>
      </w:r>
      <w:r w:rsidRPr="005954DA">
        <w:rPr>
          <w:sz w:val="20"/>
          <w:szCs w:val="20"/>
        </w:rPr>
        <w:t>, Service Science Vol. 4. Pag.147-160 - ID:35910 Articolo in rivista (262)</w:t>
      </w:r>
      <w:r>
        <w:rPr>
          <w:sz w:val="20"/>
          <w:szCs w:val="20"/>
        </w:rPr>
        <w:t>.</w:t>
      </w:r>
    </w:p>
  </w:footnote>
  <w:footnote w:id="29">
    <w:p w:rsidR="003E1853" w:rsidRPr="003E1853" w:rsidRDefault="003E1853" w:rsidP="005954DA">
      <w:pPr>
        <w:spacing w:before="40" w:after="40" w:line="240" w:lineRule="auto"/>
        <w:ind w:left="1134" w:right="1134"/>
        <w:jc w:val="both"/>
        <w:rPr>
          <w:rFonts w:cs="Times New Roman"/>
          <w:sz w:val="20"/>
          <w:szCs w:val="20"/>
        </w:rPr>
      </w:pPr>
      <w:r>
        <w:rPr>
          <w:rStyle w:val="Rimandonotaapidipagina"/>
        </w:rPr>
        <w:footnoteRef/>
      </w:r>
      <w:r>
        <w:t xml:space="preserve"> </w:t>
      </w:r>
      <w:r>
        <w:rPr>
          <w:rFonts w:cs="Times New Roman"/>
          <w:sz w:val="20"/>
          <w:szCs w:val="20"/>
        </w:rPr>
        <w:t xml:space="preserve">L. Macaulay, C. Moxham, B. Jones, I. </w:t>
      </w:r>
      <w:r w:rsidRPr="003E1853">
        <w:rPr>
          <w:rFonts w:cs="Times New Roman"/>
          <w:sz w:val="20"/>
          <w:szCs w:val="20"/>
        </w:rPr>
        <w:t xml:space="preserve">Miles, I. (2010), </w:t>
      </w:r>
      <w:r w:rsidRPr="003E1853">
        <w:rPr>
          <w:rFonts w:cs="Times New Roman"/>
          <w:i/>
          <w:sz w:val="20"/>
          <w:szCs w:val="20"/>
        </w:rPr>
        <w:t>Innovation and Skills</w:t>
      </w:r>
      <w:r>
        <w:rPr>
          <w:rFonts w:cs="Times New Roman"/>
          <w:sz w:val="20"/>
          <w:szCs w:val="20"/>
        </w:rPr>
        <w:t xml:space="preserve">, in Maglio P., </w:t>
      </w:r>
      <w:r w:rsidRPr="003E1853">
        <w:rPr>
          <w:rFonts w:cs="Times New Roman"/>
          <w:sz w:val="20"/>
          <w:szCs w:val="20"/>
        </w:rPr>
        <w:t>Kieliszewski C., Spohrer J. (Ed.), Handbook of Service Science, Springer, pp. 717-736</w:t>
      </w:r>
      <w:r>
        <w:rPr>
          <w:rFonts w:cs="Times New Roman"/>
          <w:sz w:val="20"/>
          <w:szCs w:val="20"/>
        </w:rPr>
        <w:t>.</w:t>
      </w:r>
    </w:p>
    <w:p w:rsidR="003E1853" w:rsidRDefault="003E1853">
      <w:pPr>
        <w:pStyle w:val="Testonotaapidipagina"/>
      </w:pPr>
    </w:p>
  </w:footnote>
  <w:footnote w:id="30">
    <w:p w:rsidR="001F2286" w:rsidRPr="001F2286" w:rsidRDefault="001F2286" w:rsidP="001F2286">
      <w:pPr>
        <w:spacing w:before="40" w:after="40"/>
        <w:ind w:left="1134" w:right="1134"/>
        <w:jc w:val="both"/>
        <w:rPr>
          <w:sz w:val="20"/>
          <w:szCs w:val="20"/>
        </w:rPr>
      </w:pPr>
      <w:r>
        <w:rPr>
          <w:rStyle w:val="Rimandonotaapidipagina"/>
        </w:rPr>
        <w:footnoteRef/>
      </w:r>
      <w:r>
        <w:t xml:space="preserve"> P. </w:t>
      </w:r>
      <w:r>
        <w:rPr>
          <w:sz w:val="20"/>
          <w:szCs w:val="20"/>
        </w:rPr>
        <w:t xml:space="preserve">Piciocchi, J. Spohrer, C. Bassano, A. Giuiusa (2012), </w:t>
      </w:r>
      <w:r w:rsidRPr="001F2286">
        <w:rPr>
          <w:i/>
          <w:sz w:val="20"/>
          <w:szCs w:val="20"/>
        </w:rPr>
        <w:t>Smart Governance to Mediate Human Expectations and Systems Context Interactions</w:t>
      </w:r>
      <w:r w:rsidRPr="001F2286">
        <w:rPr>
          <w:sz w:val="20"/>
          <w:szCs w:val="20"/>
        </w:rPr>
        <w:t xml:space="preserve"> In Spohrer J.c., Freund L.E. Advances in Human Side of Service Engineering Pag.319-328 , CRC Press Taylor &amp; Fr</w:t>
      </w:r>
      <w:r>
        <w:rPr>
          <w:sz w:val="20"/>
          <w:szCs w:val="20"/>
        </w:rPr>
        <w:t>ancis Group.</w:t>
      </w:r>
    </w:p>
    <w:p w:rsidR="001F2286" w:rsidRDefault="001F2286">
      <w:pPr>
        <w:pStyle w:val="Testonotaapidipagina"/>
      </w:pPr>
    </w:p>
  </w:footnote>
  <w:footnote w:id="31">
    <w:p w:rsidR="00A133F9" w:rsidRPr="001F6CB4" w:rsidRDefault="00A133F9" w:rsidP="00A133F9">
      <w:pPr>
        <w:pStyle w:val="Testonotaapidipagina"/>
        <w:ind w:left="1134" w:right="1134"/>
        <w:jc w:val="both"/>
        <w:rPr>
          <w:lang w:val="en-US"/>
        </w:rPr>
      </w:pPr>
      <w:r>
        <w:rPr>
          <w:rStyle w:val="Rimandonotaapidipagina"/>
        </w:rPr>
        <w:footnoteRef/>
      </w:r>
      <w:r w:rsidRPr="001F6CB4">
        <w:rPr>
          <w:lang w:val="en-US"/>
        </w:rPr>
        <w:t xml:space="preserve">  IfM an</w:t>
      </w:r>
      <w:r>
        <w:rPr>
          <w:lang w:val="en-US"/>
        </w:rPr>
        <w:t>d IBM 2008, IfM and IBM. (2008),</w:t>
      </w:r>
      <w:r w:rsidRPr="001F6CB4">
        <w:rPr>
          <w:lang w:val="en-US"/>
        </w:rPr>
        <w:t xml:space="preserve"> Succeeding through Service Innovation: A Service Perspective for Education, Re</w:t>
      </w:r>
      <w:r>
        <w:rPr>
          <w:lang w:val="en-US"/>
        </w:rPr>
        <w:t>search, Business and Government,</w:t>
      </w:r>
      <w:r w:rsidRPr="001F6CB4">
        <w:rPr>
          <w:lang w:val="en-US"/>
        </w:rPr>
        <w:t xml:space="preserve"> Cambridge, United Kingdom: University of Cambridge Institute for Manufacturing, available at http://www.ifm.eng.cam.ac.uk/ssme/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283"/>
  <w:characterSpacingControl w:val="doNotCompress"/>
  <w:footnotePr>
    <w:footnote w:id="-1"/>
    <w:footnote w:id="0"/>
  </w:footnotePr>
  <w:endnotePr>
    <w:endnote w:id="-1"/>
    <w:endnote w:id="0"/>
  </w:endnotePr>
  <w:compat/>
  <w:rsids>
    <w:rsidRoot w:val="00A133F9"/>
    <w:rsid w:val="00023C41"/>
    <w:rsid w:val="00027047"/>
    <w:rsid w:val="0008543E"/>
    <w:rsid w:val="000E1A3B"/>
    <w:rsid w:val="001B5B09"/>
    <w:rsid w:val="001F2286"/>
    <w:rsid w:val="002F5923"/>
    <w:rsid w:val="00344BE3"/>
    <w:rsid w:val="003E1853"/>
    <w:rsid w:val="0042064B"/>
    <w:rsid w:val="004338C2"/>
    <w:rsid w:val="004E4AFC"/>
    <w:rsid w:val="005954DA"/>
    <w:rsid w:val="005E017A"/>
    <w:rsid w:val="006E586A"/>
    <w:rsid w:val="007255A9"/>
    <w:rsid w:val="00766BE3"/>
    <w:rsid w:val="00786D95"/>
    <w:rsid w:val="00787F21"/>
    <w:rsid w:val="007B18A6"/>
    <w:rsid w:val="008412D9"/>
    <w:rsid w:val="00944E4E"/>
    <w:rsid w:val="00A133F9"/>
    <w:rsid w:val="00A4763F"/>
    <w:rsid w:val="00AB31F8"/>
    <w:rsid w:val="00B37F36"/>
    <w:rsid w:val="00CC54F8"/>
    <w:rsid w:val="00CC5B99"/>
    <w:rsid w:val="00FB0690"/>
    <w:rsid w:val="00FF4B0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133F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133F9"/>
    <w:pPr>
      <w:ind w:left="720"/>
      <w:contextualSpacing/>
    </w:pPr>
  </w:style>
  <w:style w:type="paragraph" w:styleId="Testonotaapidipagina">
    <w:name w:val="footnote text"/>
    <w:basedOn w:val="Normale"/>
    <w:link w:val="TestonotaapidipaginaCarattere"/>
    <w:uiPriority w:val="99"/>
    <w:unhideWhenUsed/>
    <w:rsid w:val="00A133F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A133F9"/>
    <w:rPr>
      <w:sz w:val="20"/>
      <w:szCs w:val="20"/>
    </w:rPr>
  </w:style>
  <w:style w:type="character" w:styleId="Rimandonotaapidipagina">
    <w:name w:val="footnote reference"/>
    <w:basedOn w:val="Carpredefinitoparagrafo"/>
    <w:uiPriority w:val="99"/>
    <w:semiHidden/>
    <w:unhideWhenUsed/>
    <w:rsid w:val="00A133F9"/>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0630A-3182-4AEC-85FD-591BA58D4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4069</Words>
  <Characters>23198</Characters>
  <Application>Microsoft Office Word</Application>
  <DocSecurity>0</DocSecurity>
  <Lines>193</Lines>
  <Paragraphs>54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27213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Trotta</dc:creator>
  <cp:lastModifiedBy>piciocchi</cp:lastModifiedBy>
  <cp:revision>2</cp:revision>
  <cp:lastPrinted>2016-10-13T14:36:00Z</cp:lastPrinted>
  <dcterms:created xsi:type="dcterms:W3CDTF">2016-10-13T14:36:00Z</dcterms:created>
  <dcterms:modified xsi:type="dcterms:W3CDTF">2016-10-13T14:36:00Z</dcterms:modified>
</cp:coreProperties>
</file>